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E0E" w:rsidRDefault="005D45C8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2.25pt;margin-top:208.5pt;width:297pt;height:212.25pt;z-index:251660288;mso-width-relative:margin;mso-height-relative:margin">
            <v:textbox style="mso-next-textbox:#_x0000_s1026">
              <w:txbxContent>
                <w:p w:rsidR="007E30C1" w:rsidRDefault="00095F18">
                  <w:r w:rsidRPr="00095F18">
                    <w:drawing>
                      <wp:inline distT="0" distB="0" distL="0" distR="0">
                        <wp:extent cx="3693795" cy="2647950"/>
                        <wp:effectExtent l="19050" t="0" r="20955" b="0"/>
                        <wp:docPr id="1" name="Chart 1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6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234.75pt;margin-top:420.75pt;width:297pt;height:212.25pt;z-index:251663360;mso-width-relative:margin;mso-height-relative:margin">
            <v:textbox style="mso-next-textbox:#_x0000_s1029">
              <w:txbxContent>
                <w:p w:rsidR="007E30C1" w:rsidRDefault="006B7C00" w:rsidP="00357160">
                  <w:r w:rsidRPr="006B7C00">
                    <w:drawing>
                      <wp:inline distT="0" distB="0" distL="0" distR="0">
                        <wp:extent cx="3579495" cy="2667000"/>
                        <wp:effectExtent l="19050" t="0" r="20955" b="0"/>
                        <wp:docPr id="10" name="Chart 6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7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62.25pt;margin-top:420.75pt;width:297pt;height:212.25pt;z-index:251662336;mso-width-relative:margin;mso-height-relative:margin">
            <v:textbox>
              <w:txbxContent>
                <w:p w:rsidR="007E30C1" w:rsidRDefault="006B7C00" w:rsidP="00357160">
                  <w:r w:rsidRPr="006B7C00">
                    <w:drawing>
                      <wp:inline distT="0" distB="0" distL="0" distR="0">
                        <wp:extent cx="3579495" cy="2667000"/>
                        <wp:effectExtent l="19050" t="0" r="20955" b="0"/>
                        <wp:docPr id="9" name="Chart 5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8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34.75pt;margin-top:208.5pt;width:297pt;height:212.25pt;z-index:251661312;mso-width-relative:margin;mso-height-relative:margin">
            <v:textbox>
              <w:txbxContent>
                <w:p w:rsidR="007E30C1" w:rsidRDefault="006B7C00" w:rsidP="00357160">
                  <w:r w:rsidRPr="006B7C00">
                    <w:drawing>
                      <wp:inline distT="0" distB="0" distL="0" distR="0">
                        <wp:extent cx="3657600" cy="2647950"/>
                        <wp:effectExtent l="19050" t="0" r="19050" b="0"/>
                        <wp:docPr id="6" name="Chart 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9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740B1" w:rsidRPr="00C740B1">
        <w:t xml:space="preserve">Dissolved oxygen measurements taken </w:t>
      </w:r>
      <w:r w:rsidR="00C740B1">
        <w:t xml:space="preserve">by the </w:t>
      </w:r>
      <w:proofErr w:type="spellStart"/>
      <w:r w:rsidR="00C740B1">
        <w:t>CTD</w:t>
      </w:r>
      <w:proofErr w:type="spellEnd"/>
      <w:r w:rsidR="003F0FFA">
        <w:t>, Winkler titration</w:t>
      </w:r>
      <w:r w:rsidR="003402E8">
        <w:t>,</w:t>
      </w:r>
      <w:r w:rsidR="00C740B1">
        <w:t xml:space="preserve"> and the </w:t>
      </w:r>
      <w:proofErr w:type="spellStart"/>
      <w:r w:rsidR="00C740B1">
        <w:t>ProODO</w:t>
      </w:r>
      <w:proofErr w:type="spellEnd"/>
      <w:r w:rsidR="00C740B1">
        <w:t xml:space="preserve"> field probe </w:t>
      </w:r>
      <w:r w:rsidR="007C372E">
        <w:t>on 09/10</w:t>
      </w:r>
      <w:r w:rsidR="00C740B1" w:rsidRPr="00C740B1">
        <w:t xml:space="preserve">/2010 </w:t>
      </w:r>
      <w:r w:rsidR="00726F42">
        <w:t>trend together following a similar dissolved oxygen curve through the water profile</w:t>
      </w:r>
      <w:r w:rsidR="005268C3">
        <w:t xml:space="preserve">.  </w:t>
      </w:r>
      <w:proofErr w:type="spellStart"/>
      <w:r w:rsidR="00C740B1" w:rsidRPr="00C740B1">
        <w:t>CTD</w:t>
      </w:r>
      <w:proofErr w:type="spellEnd"/>
      <w:r w:rsidR="00C740B1" w:rsidRPr="00C740B1">
        <w:t xml:space="preserve"> readings </w:t>
      </w:r>
      <w:r w:rsidR="00726F42">
        <w:t xml:space="preserve">were </w:t>
      </w:r>
      <w:r w:rsidR="00C740B1" w:rsidRPr="00C740B1">
        <w:t>taken underwater at actual temperature and depth.</w:t>
      </w:r>
      <w:r w:rsidR="003402E8">
        <w:t xml:space="preserve">  Winkler titration samples were procured as soon as the </w:t>
      </w:r>
      <w:proofErr w:type="spellStart"/>
      <w:r w:rsidR="003402E8">
        <w:t>Nisken</w:t>
      </w:r>
      <w:proofErr w:type="spellEnd"/>
      <w:r w:rsidR="003402E8">
        <w:t xml:space="preserve"> bottl</w:t>
      </w:r>
      <w:r w:rsidR="0062640A">
        <w:t>es arrived on deck and readings</w:t>
      </w:r>
      <w:r w:rsidR="003402E8">
        <w:t xml:space="preserve"> were taken immediately.</w:t>
      </w:r>
      <w:r w:rsidR="00C740B1" w:rsidRPr="00C740B1">
        <w:t xml:space="preserve">  </w:t>
      </w:r>
      <w:proofErr w:type="spellStart"/>
      <w:r w:rsidR="00C740B1" w:rsidRPr="00C740B1">
        <w:t>ProODO</w:t>
      </w:r>
      <w:proofErr w:type="spellEnd"/>
      <w:r w:rsidR="00C740B1" w:rsidRPr="00C740B1">
        <w:t xml:space="preserve"> Field Probe readings </w:t>
      </w:r>
      <w:r w:rsidR="00726F42">
        <w:t xml:space="preserve">were </w:t>
      </w:r>
      <w:r w:rsidR="00C740B1" w:rsidRPr="00C740B1">
        <w:t xml:space="preserve">taken on deck in </w:t>
      </w:r>
      <w:proofErr w:type="spellStart"/>
      <w:r w:rsidR="00C740B1" w:rsidRPr="00C740B1">
        <w:t>Nisken</w:t>
      </w:r>
      <w:proofErr w:type="spellEnd"/>
      <w:r w:rsidR="00C740B1" w:rsidRPr="00C740B1">
        <w:t xml:space="preserve"> bottles immediately </w:t>
      </w:r>
      <w:r w:rsidR="003402E8">
        <w:t xml:space="preserve">following </w:t>
      </w:r>
      <w:r w:rsidR="0062640A">
        <w:t>W</w:t>
      </w:r>
      <w:r w:rsidR="003402E8">
        <w:t>inkler sampling</w:t>
      </w:r>
      <w:r w:rsidR="00C740B1" w:rsidRPr="00C740B1">
        <w:t>.</w:t>
      </w:r>
      <w:r w:rsidR="00726F42">
        <w:t xml:space="preserve">  </w:t>
      </w:r>
      <w:proofErr w:type="spellStart"/>
      <w:r w:rsidR="003C0D88">
        <w:t>ProODO</w:t>
      </w:r>
      <w:proofErr w:type="spellEnd"/>
      <w:r w:rsidR="003C0D88">
        <w:t xml:space="preserve"> probe values correlated very well with </w:t>
      </w:r>
      <w:proofErr w:type="spellStart"/>
      <w:r w:rsidR="003C0D88">
        <w:t>CTD</w:t>
      </w:r>
      <w:proofErr w:type="spellEnd"/>
      <w:r w:rsidR="003C0D88">
        <w:t xml:space="preserve"> values on all casts</w:t>
      </w:r>
      <w:r w:rsidR="004F21E2">
        <w:t xml:space="preserve">.  </w:t>
      </w:r>
      <w:r w:rsidR="00F26E29">
        <w:t xml:space="preserve">The salinity was changed from 35ppt to 36ppt </w:t>
      </w:r>
      <w:r w:rsidR="003402E8">
        <w:t xml:space="preserve">on the </w:t>
      </w:r>
      <w:proofErr w:type="spellStart"/>
      <w:r w:rsidR="003402E8">
        <w:t>ProODO</w:t>
      </w:r>
      <w:proofErr w:type="spellEnd"/>
      <w:r w:rsidR="003402E8">
        <w:t xml:space="preserve"> field probe </w:t>
      </w:r>
      <w:r w:rsidR="00F26E29">
        <w:t xml:space="preserve">for the 50m and 3m samples.  </w:t>
      </w:r>
      <w:r w:rsidR="00932489">
        <w:t xml:space="preserve"> This change in salinity (to account for the higher salinity at the seawater surface</w:t>
      </w:r>
      <w:r w:rsidR="004F21E2">
        <w:t xml:space="preserve"> based on </w:t>
      </w:r>
      <w:proofErr w:type="spellStart"/>
      <w:r w:rsidR="004F21E2">
        <w:t>CTD</w:t>
      </w:r>
      <w:proofErr w:type="spellEnd"/>
      <w:r w:rsidR="004F21E2">
        <w:t xml:space="preserve"> readings</w:t>
      </w:r>
      <w:r w:rsidR="00932489">
        <w:t>) allowed more accurate DO reading with the field probe</w:t>
      </w:r>
      <w:r w:rsidR="00726F42">
        <w:t>.</w:t>
      </w:r>
      <w:r w:rsidR="00260C3E">
        <w:t xml:space="preserve">  No sheen was found in any of the </w:t>
      </w:r>
      <w:proofErr w:type="spellStart"/>
      <w:r w:rsidR="00260C3E">
        <w:t>Nisken</w:t>
      </w:r>
      <w:proofErr w:type="spellEnd"/>
      <w:r w:rsidR="00260C3E">
        <w:t xml:space="preserve"> bottles at any of the sampled depths.</w:t>
      </w:r>
    </w:p>
    <w:p w:rsidR="00CA52EE" w:rsidRDefault="00CA52EE"/>
    <w:p w:rsidR="00CA52EE" w:rsidRDefault="00CA52EE"/>
    <w:p w:rsidR="00CA52EE" w:rsidRDefault="00CA52EE"/>
    <w:p w:rsidR="00CA52EE" w:rsidRDefault="00CA52EE"/>
    <w:p w:rsidR="00CA52EE" w:rsidRDefault="00CA52EE"/>
    <w:p w:rsidR="00CA52EE" w:rsidRDefault="00CA52EE"/>
    <w:p w:rsidR="00CA52EE" w:rsidRDefault="00CA52EE"/>
    <w:p w:rsidR="00357160" w:rsidRDefault="00357160"/>
    <w:p w:rsidR="00357160" w:rsidRDefault="00357160"/>
    <w:p w:rsidR="00357160" w:rsidRDefault="00357160"/>
    <w:p w:rsidR="00357160" w:rsidRDefault="00357160"/>
    <w:p w:rsidR="00357160" w:rsidRDefault="00357160"/>
    <w:p w:rsidR="00357160" w:rsidRDefault="00357160"/>
    <w:p w:rsidR="00357160" w:rsidRDefault="00357160"/>
    <w:p w:rsidR="00357160" w:rsidRDefault="00357160"/>
    <w:p w:rsidR="0062640A" w:rsidRDefault="0062640A">
      <w:r>
        <w:br w:type="page"/>
      </w:r>
    </w:p>
    <w:p w:rsidR="00F26E29" w:rsidRDefault="005D45C8">
      <w:r>
        <w:rPr>
          <w:noProof/>
        </w:rPr>
        <w:lastRenderedPageBreak/>
        <w:pict>
          <v:shape id="_x0000_s1030" type="#_x0000_t202" style="position:absolute;margin-left:0;margin-top:0;width:442.5pt;height:269.25pt;z-index:251664384;mso-position-horizontal:center;mso-position-horizontal-relative:margin;mso-position-vertical:top;mso-position-vertical-relative:margin;mso-width-relative:margin;mso-height-relative:margin">
            <v:textbox>
              <w:txbxContent>
                <w:p w:rsidR="007E30C1" w:rsidRDefault="00B33A0D" w:rsidP="00B33A0D">
                  <w:pPr>
                    <w:jc w:val="center"/>
                  </w:pPr>
                  <w:r w:rsidRPr="00B33A0D">
                    <w:drawing>
                      <wp:inline distT="0" distB="0" distL="0" distR="0">
                        <wp:extent cx="5362659" cy="3295650"/>
                        <wp:effectExtent l="19050" t="0" r="28491" b="0"/>
                        <wp:docPr id="11" name="Chart 7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0"/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 anchory="margin"/>
          </v:shape>
        </w:pict>
      </w:r>
    </w:p>
    <w:p w:rsidR="00F26E29" w:rsidRPr="00F26E29" w:rsidRDefault="00F26E29" w:rsidP="00F26E29"/>
    <w:p w:rsidR="00F26E29" w:rsidRPr="00F26E29" w:rsidRDefault="00F26E29" w:rsidP="00F26E29"/>
    <w:p w:rsidR="00F26E29" w:rsidRPr="00F26E29" w:rsidRDefault="00F26E29" w:rsidP="00F26E29"/>
    <w:p w:rsidR="00F26E29" w:rsidRPr="00F26E29" w:rsidRDefault="00F26E29" w:rsidP="00F26E29"/>
    <w:p w:rsidR="00F26E29" w:rsidRPr="00F26E29" w:rsidRDefault="00F26E29" w:rsidP="00F26E29"/>
    <w:p w:rsidR="00F26E29" w:rsidRPr="00F26E29" w:rsidRDefault="00F26E29" w:rsidP="00F26E29"/>
    <w:p w:rsidR="00F26E29" w:rsidRPr="00F26E29" w:rsidRDefault="00F26E29" w:rsidP="00F26E29"/>
    <w:p w:rsidR="00F26E29" w:rsidRPr="00F26E29" w:rsidRDefault="00F26E29" w:rsidP="00F26E29"/>
    <w:p w:rsidR="00F26E29" w:rsidRDefault="00F26E29" w:rsidP="00F26E29"/>
    <w:p w:rsidR="00302249" w:rsidRDefault="00302249" w:rsidP="00F26E29"/>
    <w:p w:rsidR="006F3CCC" w:rsidRPr="00F26E29" w:rsidRDefault="00F26E29" w:rsidP="00F26E29">
      <w:pPr>
        <w:tabs>
          <w:tab w:val="left" w:pos="3960"/>
        </w:tabs>
      </w:pPr>
      <w:r>
        <w:tab/>
      </w:r>
    </w:p>
    <w:sectPr w:rsidR="006F3CCC" w:rsidRPr="00F26E29" w:rsidSect="00DE4BD0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0C1" w:rsidRDefault="007E30C1" w:rsidP="00E76CD4">
      <w:pPr>
        <w:spacing w:after="0" w:line="240" w:lineRule="auto"/>
      </w:pPr>
      <w:r>
        <w:separator/>
      </w:r>
    </w:p>
  </w:endnote>
  <w:endnote w:type="continuationSeparator" w:id="0">
    <w:p w:rsidR="007E30C1" w:rsidRDefault="007E30C1" w:rsidP="00E76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0C1" w:rsidRDefault="007E30C1" w:rsidP="00E76CD4">
      <w:pPr>
        <w:spacing w:after="0" w:line="240" w:lineRule="auto"/>
      </w:pPr>
      <w:r>
        <w:separator/>
      </w:r>
    </w:p>
  </w:footnote>
  <w:footnote w:type="continuationSeparator" w:id="0">
    <w:p w:rsidR="007E30C1" w:rsidRDefault="007E30C1" w:rsidP="00E76C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0C1" w:rsidRDefault="007E30C1">
    <w:pPr>
      <w:pStyle w:val="Header"/>
    </w:pPr>
    <w:proofErr w:type="spellStart"/>
    <w:r>
      <w:t>ENTRIX</w:t>
    </w:r>
    <w:proofErr w:type="spellEnd"/>
    <w:r>
      <w:tab/>
    </w:r>
    <w:r>
      <w:tab/>
      <w:t>09/10/2010</w:t>
    </w:r>
  </w:p>
  <w:p w:rsidR="007E30C1" w:rsidRDefault="007E30C1">
    <w:pPr>
      <w:pStyle w:val="Header"/>
    </w:pPr>
    <w:r>
      <w:t>Dissolved Oxygen Report</w:t>
    </w:r>
    <w:r>
      <w:tab/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40B1"/>
    <w:rsid w:val="00055013"/>
    <w:rsid w:val="00095F18"/>
    <w:rsid w:val="00143A51"/>
    <w:rsid w:val="001720F6"/>
    <w:rsid w:val="0018104F"/>
    <w:rsid w:val="001A7ADE"/>
    <w:rsid w:val="00236C83"/>
    <w:rsid w:val="00260C3E"/>
    <w:rsid w:val="00277E1B"/>
    <w:rsid w:val="00302249"/>
    <w:rsid w:val="003402E8"/>
    <w:rsid w:val="00351132"/>
    <w:rsid w:val="00357160"/>
    <w:rsid w:val="003C0D88"/>
    <w:rsid w:val="003D5AA5"/>
    <w:rsid w:val="003F0FFA"/>
    <w:rsid w:val="003F6A13"/>
    <w:rsid w:val="00480CEE"/>
    <w:rsid w:val="004D4A0B"/>
    <w:rsid w:val="004F21E2"/>
    <w:rsid w:val="005268C3"/>
    <w:rsid w:val="005A22CE"/>
    <w:rsid w:val="005D45C8"/>
    <w:rsid w:val="0062640A"/>
    <w:rsid w:val="00650562"/>
    <w:rsid w:val="00661244"/>
    <w:rsid w:val="006B7C00"/>
    <w:rsid w:val="006C4B48"/>
    <w:rsid w:val="006F3CCC"/>
    <w:rsid w:val="00714110"/>
    <w:rsid w:val="00726F42"/>
    <w:rsid w:val="00751CA1"/>
    <w:rsid w:val="007C372E"/>
    <w:rsid w:val="007E30C1"/>
    <w:rsid w:val="0083246D"/>
    <w:rsid w:val="00865C84"/>
    <w:rsid w:val="008E18F8"/>
    <w:rsid w:val="00932489"/>
    <w:rsid w:val="0099180A"/>
    <w:rsid w:val="009C12E0"/>
    <w:rsid w:val="00A03790"/>
    <w:rsid w:val="00A83EA7"/>
    <w:rsid w:val="00AA4703"/>
    <w:rsid w:val="00B33A0D"/>
    <w:rsid w:val="00B33C4B"/>
    <w:rsid w:val="00B7660E"/>
    <w:rsid w:val="00C740B1"/>
    <w:rsid w:val="00CA52EE"/>
    <w:rsid w:val="00CA58A4"/>
    <w:rsid w:val="00D0251D"/>
    <w:rsid w:val="00D560EF"/>
    <w:rsid w:val="00DE4BD0"/>
    <w:rsid w:val="00E17DA1"/>
    <w:rsid w:val="00E76CD4"/>
    <w:rsid w:val="00E82E72"/>
    <w:rsid w:val="00F260C1"/>
    <w:rsid w:val="00F26E29"/>
    <w:rsid w:val="00F82E0E"/>
    <w:rsid w:val="00FA11AF"/>
    <w:rsid w:val="00FA36FA"/>
    <w:rsid w:val="00FC5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B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6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0E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76C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6CD4"/>
  </w:style>
  <w:style w:type="paragraph" w:styleId="Footer">
    <w:name w:val="footer"/>
    <w:basedOn w:val="Normal"/>
    <w:link w:val="FooterChar"/>
    <w:uiPriority w:val="99"/>
    <w:semiHidden/>
    <w:unhideWhenUsed/>
    <w:rsid w:val="00E76C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76C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chart" Target="charts/chart5.xml"/><Relationship Id="rId4" Type="http://schemas.openxmlformats.org/officeDocument/2006/relationships/footnotes" Target="footnote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Owner\Documents\OV_DDSP_Data_Forms\Cruise_Folders\Cruise_19\Meter-CTD_Oxygen_Measurements_OV19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Owner\Documents\OV_DDSP_Data_Forms\Cruise_Folders\Cruise_19\Meter-CTD_Oxygen_Measurements_OV19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Owner\Documents\OV_DDSP_Data_Forms\Cruise_Folders\Cruise_19\Meter-CTD_Oxygen_Measurements_OV19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Owner\Documents\OV_DDSP_Data_Forms\Cruise_Folders\Cruise_19\Meter-CTD_Oxygen_Measurements_OV19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Owner\Documents\OV_DDSP_Data_Forms\Cruise_Folders\Cruise_19\Meter-CTD_Oxygen_Measurements_OV19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 sz="1600"/>
            </a:pPr>
            <a:r>
              <a:rPr lang="en-US" sz="1600"/>
              <a:t>OV 250</a:t>
            </a:r>
          </a:p>
        </c:rich>
      </c:tx>
      <c:layout/>
      <c:spPr>
        <a:noFill/>
        <a:ln w="25400">
          <a:noFill/>
        </a:ln>
      </c:spPr>
    </c:title>
    <c:plotArea>
      <c:layout/>
      <c:scatterChart>
        <c:scatterStyle val="lineMarker"/>
        <c:ser>
          <c:idx val="2"/>
          <c:order val="0"/>
          <c:tx>
            <c:v>CTD</c:v>
          </c:tx>
          <c:spPr>
            <a:ln w="28575">
              <a:noFill/>
            </a:ln>
          </c:spPr>
          <c:marker>
            <c:symbol val="triangle"/>
            <c:size val="7"/>
            <c:spPr>
              <a:solidFill>
                <a:srgbClr val="92D050"/>
              </a:solidFill>
            </c:spPr>
          </c:marker>
          <c:xVal>
            <c:numRef>
              <c:f>'DAY 3'!$C$3:$C$10</c:f>
              <c:numCache>
                <c:formatCode>0.00</c:formatCode>
                <c:ptCount val="8"/>
                <c:pt idx="0">
                  <c:v>6.28</c:v>
                </c:pt>
                <c:pt idx="1">
                  <c:v>7.17</c:v>
                </c:pt>
                <c:pt idx="2">
                  <c:v>3.69</c:v>
                </c:pt>
                <c:pt idx="3">
                  <c:v>4.5</c:v>
                </c:pt>
                <c:pt idx="4">
                  <c:v>5.79</c:v>
                </c:pt>
                <c:pt idx="5">
                  <c:v>5.82</c:v>
                </c:pt>
                <c:pt idx="6">
                  <c:v>6.79</c:v>
                </c:pt>
                <c:pt idx="7">
                  <c:v>6.88</c:v>
                </c:pt>
              </c:numCache>
            </c:numRef>
          </c:xVal>
          <c:yVal>
            <c:numRef>
              <c:f>'DAY 3'!$B$3:$B$10</c:f>
              <c:numCache>
                <c:formatCode>General</c:formatCode>
                <c:ptCount val="8"/>
                <c:pt idx="0">
                  <c:v>3</c:v>
                </c:pt>
                <c:pt idx="1">
                  <c:v>50</c:v>
                </c:pt>
                <c:pt idx="2">
                  <c:v>372</c:v>
                </c:pt>
                <c:pt idx="3">
                  <c:v>700</c:v>
                </c:pt>
                <c:pt idx="4">
                  <c:v>1000</c:v>
                </c:pt>
                <c:pt idx="5">
                  <c:v>1115</c:v>
                </c:pt>
                <c:pt idx="6">
                  <c:v>1400</c:v>
                </c:pt>
                <c:pt idx="7">
                  <c:v>1700</c:v>
                </c:pt>
              </c:numCache>
            </c:numRef>
          </c:yVal>
        </c:ser>
        <c:ser>
          <c:idx val="3"/>
          <c:order val="1"/>
          <c:tx>
            <c:v>Field Probe</c:v>
          </c:tx>
          <c:spPr>
            <a:ln w="28575">
              <a:noFill/>
            </a:ln>
          </c:spPr>
          <c:marker>
            <c:symbol val="circle"/>
            <c:size val="7"/>
            <c:spPr>
              <a:solidFill>
                <a:srgbClr val="FFFF00"/>
              </a:solidFill>
            </c:spPr>
          </c:marker>
          <c:xVal>
            <c:numRef>
              <c:f>'DAY 3'!$D$3:$D$10</c:f>
              <c:numCache>
                <c:formatCode>0.00</c:formatCode>
                <c:ptCount val="8"/>
                <c:pt idx="0">
                  <c:v>6.3</c:v>
                </c:pt>
                <c:pt idx="1">
                  <c:v>7.24</c:v>
                </c:pt>
                <c:pt idx="2">
                  <c:v>3.82</c:v>
                </c:pt>
                <c:pt idx="3">
                  <c:v>4.6399999999999997</c:v>
                </c:pt>
                <c:pt idx="4">
                  <c:v>5.83</c:v>
                </c:pt>
                <c:pt idx="5">
                  <c:v>5.88</c:v>
                </c:pt>
                <c:pt idx="6">
                  <c:v>6.83</c:v>
                </c:pt>
                <c:pt idx="7">
                  <c:v>6.89</c:v>
                </c:pt>
              </c:numCache>
            </c:numRef>
          </c:xVal>
          <c:yVal>
            <c:numRef>
              <c:f>'DAY 3'!$B$3:$B$10</c:f>
              <c:numCache>
                <c:formatCode>General</c:formatCode>
                <c:ptCount val="8"/>
                <c:pt idx="0">
                  <c:v>3</c:v>
                </c:pt>
                <c:pt idx="1">
                  <c:v>50</c:v>
                </c:pt>
                <c:pt idx="2">
                  <c:v>372</c:v>
                </c:pt>
                <c:pt idx="3">
                  <c:v>700</c:v>
                </c:pt>
                <c:pt idx="4">
                  <c:v>1000</c:v>
                </c:pt>
                <c:pt idx="5">
                  <c:v>1115</c:v>
                </c:pt>
                <c:pt idx="6">
                  <c:v>1400</c:v>
                </c:pt>
                <c:pt idx="7">
                  <c:v>1700</c:v>
                </c:pt>
              </c:numCache>
            </c:numRef>
          </c:yVal>
        </c:ser>
        <c:ser>
          <c:idx val="0"/>
          <c:order val="2"/>
          <c:tx>
            <c:v>Winkler</c:v>
          </c:tx>
          <c:spPr>
            <a:ln w="28575">
              <a:noFill/>
            </a:ln>
          </c:spPr>
          <c:xVal>
            <c:numRef>
              <c:f>'DAY 3'!$E$3:$E$10</c:f>
              <c:numCache>
                <c:formatCode>General</c:formatCode>
                <c:ptCount val="8"/>
                <c:pt idx="1">
                  <c:v>6.86</c:v>
                </c:pt>
                <c:pt idx="2">
                  <c:v>3.63</c:v>
                </c:pt>
                <c:pt idx="3">
                  <c:v>4.38</c:v>
                </c:pt>
                <c:pt idx="5">
                  <c:v>5.68</c:v>
                </c:pt>
                <c:pt idx="7">
                  <c:v>6.72</c:v>
                </c:pt>
              </c:numCache>
            </c:numRef>
          </c:xVal>
          <c:yVal>
            <c:numRef>
              <c:f>'DAY 3'!$B$3:$B$10</c:f>
              <c:numCache>
                <c:formatCode>General</c:formatCode>
                <c:ptCount val="8"/>
                <c:pt idx="0">
                  <c:v>3</c:v>
                </c:pt>
                <c:pt idx="1">
                  <c:v>50</c:v>
                </c:pt>
                <c:pt idx="2">
                  <c:v>372</c:v>
                </c:pt>
                <c:pt idx="3">
                  <c:v>700</c:v>
                </c:pt>
                <c:pt idx="4">
                  <c:v>1000</c:v>
                </c:pt>
                <c:pt idx="5">
                  <c:v>1115</c:v>
                </c:pt>
                <c:pt idx="6">
                  <c:v>1400</c:v>
                </c:pt>
                <c:pt idx="7">
                  <c:v>1700</c:v>
                </c:pt>
              </c:numCache>
            </c:numRef>
          </c:yVal>
        </c:ser>
        <c:axId val="49079040"/>
        <c:axId val="49080960"/>
      </c:scatterChart>
      <c:valAx>
        <c:axId val="49079040"/>
        <c:scaling>
          <c:orientation val="minMax"/>
        </c:scaling>
        <c:axPos val="t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Dissolved</a:t>
                </a:r>
                <a:r>
                  <a:rPr lang="en-US" baseline="0"/>
                  <a:t> Oxygen (mg/L)</a:t>
                </a:r>
              </a:p>
            </c:rich>
          </c:tx>
          <c:layout/>
          <c:spPr>
            <a:noFill/>
            <a:ln w="25400">
              <a:noFill/>
            </a:ln>
          </c:spPr>
        </c:title>
        <c:numFmt formatCode="0.00" sourceLinked="1"/>
        <c:maj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49080960"/>
        <c:crosses val="autoZero"/>
        <c:crossBetween val="midCat"/>
      </c:valAx>
      <c:valAx>
        <c:axId val="49080960"/>
        <c:scaling>
          <c:orientation val="maxMin"/>
          <c:max val="1800"/>
        </c:scaling>
        <c:axPos val="l"/>
        <c:majorGridlines>
          <c:spPr>
            <a:ln w="3175">
              <a:solidFill>
                <a:srgbClr val="80808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Depth (m)</a:t>
                </a:r>
              </a:p>
            </c:rich>
          </c:tx>
          <c:layout/>
          <c:spPr>
            <a:noFill/>
            <a:ln w="25400">
              <a:noFill/>
            </a:ln>
          </c:spPr>
        </c:title>
        <c:numFmt formatCode="General" sourceLinked="1"/>
        <c:maj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49079040"/>
        <c:crosses val="autoZero"/>
        <c:crossBetween val="midCat"/>
      </c:valAx>
      <c:spPr>
        <a:solidFill>
          <a:srgbClr val="FFFFFF"/>
        </a:solidFill>
        <a:ln w="25400">
          <a:noFill/>
        </a:ln>
      </c:spPr>
    </c:plotArea>
    <c:legend>
      <c:legendPos val="r"/>
      <c:layout>
        <c:manualLayout>
          <c:xMode val="edge"/>
          <c:yMode val="edge"/>
          <c:x val="0.77523035252362404"/>
          <c:y val="0.51428161407881567"/>
          <c:w val="0.17569436349508474"/>
          <c:h val="0.24299363658679357"/>
        </c:manualLayout>
      </c:layout>
      <c:spPr>
        <a:noFill/>
        <a:ln w="25400">
          <a:noFill/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</c:chart>
  <c:spPr>
    <a:solidFill>
      <a:srgbClr val="FFFFFF"/>
    </a:solidFill>
    <a:ln w="3175">
      <a:solidFill>
        <a:srgbClr val="808080"/>
      </a:solidFill>
      <a:prstDash val="soli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 sz="1600"/>
            </a:pPr>
            <a:r>
              <a:rPr lang="en-US" sz="1600"/>
              <a:t>OV</a:t>
            </a:r>
            <a:r>
              <a:rPr lang="en-US" sz="1600" baseline="0"/>
              <a:t> 253</a:t>
            </a:r>
            <a:endParaRPr lang="en-US" sz="1600"/>
          </a:p>
        </c:rich>
      </c:tx>
      <c:layout/>
      <c:spPr>
        <a:noFill/>
        <a:ln w="25400">
          <a:noFill/>
        </a:ln>
      </c:spPr>
    </c:title>
    <c:plotArea>
      <c:layout>
        <c:manualLayout>
          <c:layoutTarget val="inner"/>
          <c:xMode val="edge"/>
          <c:yMode val="edge"/>
          <c:x val="0.15199980208359129"/>
          <c:y val="0.41783941773167532"/>
          <c:w val="0.59999921875101703"/>
          <c:h val="0.48356696658834353"/>
        </c:manualLayout>
      </c:layout>
      <c:scatterChart>
        <c:scatterStyle val="lineMarker"/>
        <c:ser>
          <c:idx val="4"/>
          <c:order val="0"/>
          <c:tx>
            <c:v>CTD</c:v>
          </c:tx>
          <c:spPr>
            <a:ln w="28575">
              <a:noFill/>
            </a:ln>
          </c:spPr>
          <c:marker>
            <c:symbol val="triangle"/>
            <c:size val="7"/>
            <c:spPr>
              <a:solidFill>
                <a:srgbClr val="92D050"/>
              </a:solidFill>
            </c:spPr>
          </c:marker>
          <c:xVal>
            <c:numRef>
              <c:f>'DAY 3'!$C$27:$C$34</c:f>
              <c:numCache>
                <c:formatCode>0.00</c:formatCode>
                <c:ptCount val="8"/>
                <c:pt idx="0">
                  <c:v>6.31</c:v>
                </c:pt>
                <c:pt idx="1">
                  <c:v>7.44</c:v>
                </c:pt>
                <c:pt idx="2">
                  <c:v>3.6</c:v>
                </c:pt>
                <c:pt idx="3">
                  <c:v>4.4800000000000004</c:v>
                </c:pt>
                <c:pt idx="4">
                  <c:v>5.72</c:v>
                </c:pt>
                <c:pt idx="5">
                  <c:v>6.44</c:v>
                </c:pt>
                <c:pt idx="6">
                  <c:v>6.69</c:v>
                </c:pt>
                <c:pt idx="7">
                  <c:v>6.97</c:v>
                </c:pt>
              </c:numCache>
            </c:numRef>
          </c:xVal>
          <c:yVal>
            <c:numRef>
              <c:f>'DAY 3'!$B$27:$B$34</c:f>
              <c:numCache>
                <c:formatCode>General</c:formatCode>
                <c:ptCount val="8"/>
                <c:pt idx="0">
                  <c:v>3</c:v>
                </c:pt>
                <c:pt idx="1">
                  <c:v>50</c:v>
                </c:pt>
                <c:pt idx="2">
                  <c:v>400</c:v>
                </c:pt>
                <c:pt idx="3">
                  <c:v>700</c:v>
                </c:pt>
                <c:pt idx="4">
                  <c:v>1000</c:v>
                </c:pt>
                <c:pt idx="5">
                  <c:v>1245</c:v>
                </c:pt>
                <c:pt idx="6">
                  <c:v>1400</c:v>
                </c:pt>
                <c:pt idx="7">
                  <c:v>1700</c:v>
                </c:pt>
              </c:numCache>
            </c:numRef>
          </c:yVal>
        </c:ser>
        <c:ser>
          <c:idx val="5"/>
          <c:order val="1"/>
          <c:tx>
            <c:v>Field Probe</c:v>
          </c:tx>
          <c:spPr>
            <a:ln w="28575">
              <a:noFill/>
            </a:ln>
          </c:spPr>
          <c:marker>
            <c:symbol val="circle"/>
            <c:size val="7"/>
            <c:spPr>
              <a:solidFill>
                <a:srgbClr val="FFFF00"/>
              </a:solidFill>
            </c:spPr>
          </c:marker>
          <c:xVal>
            <c:numRef>
              <c:f>'DAY 3'!$D$27:$D$34</c:f>
              <c:numCache>
                <c:formatCode>0.00</c:formatCode>
                <c:ptCount val="8"/>
                <c:pt idx="0">
                  <c:v>6.33</c:v>
                </c:pt>
                <c:pt idx="1">
                  <c:v>7.43</c:v>
                </c:pt>
                <c:pt idx="2">
                  <c:v>3.69</c:v>
                </c:pt>
                <c:pt idx="3">
                  <c:v>4.59</c:v>
                </c:pt>
                <c:pt idx="4">
                  <c:v>5.7</c:v>
                </c:pt>
                <c:pt idx="5">
                  <c:v>6.45</c:v>
                </c:pt>
                <c:pt idx="6">
                  <c:v>6.68</c:v>
                </c:pt>
                <c:pt idx="7">
                  <c:v>6.96</c:v>
                </c:pt>
              </c:numCache>
            </c:numRef>
          </c:xVal>
          <c:yVal>
            <c:numRef>
              <c:f>'DAY 3'!$B$27:$B$34</c:f>
              <c:numCache>
                <c:formatCode>General</c:formatCode>
                <c:ptCount val="8"/>
                <c:pt idx="0">
                  <c:v>3</c:v>
                </c:pt>
                <c:pt idx="1">
                  <c:v>50</c:v>
                </c:pt>
                <c:pt idx="2">
                  <c:v>400</c:v>
                </c:pt>
                <c:pt idx="3">
                  <c:v>700</c:v>
                </c:pt>
                <c:pt idx="4">
                  <c:v>1000</c:v>
                </c:pt>
                <c:pt idx="5">
                  <c:v>1245</c:v>
                </c:pt>
                <c:pt idx="6">
                  <c:v>1400</c:v>
                </c:pt>
                <c:pt idx="7">
                  <c:v>1700</c:v>
                </c:pt>
              </c:numCache>
            </c:numRef>
          </c:yVal>
        </c:ser>
        <c:ser>
          <c:idx val="0"/>
          <c:order val="2"/>
          <c:tx>
            <c:v>Winkler</c:v>
          </c:tx>
          <c:spPr>
            <a:ln w="28575">
              <a:noFill/>
            </a:ln>
          </c:spPr>
          <c:xVal>
            <c:numRef>
              <c:f>'DAY 3'!$E$27:$E$34</c:f>
              <c:numCache>
                <c:formatCode>General</c:formatCode>
                <c:ptCount val="8"/>
                <c:pt idx="1">
                  <c:v>7.2</c:v>
                </c:pt>
                <c:pt idx="2">
                  <c:v>3.53</c:v>
                </c:pt>
                <c:pt idx="3">
                  <c:v>4.33</c:v>
                </c:pt>
                <c:pt idx="5">
                  <c:v>6.39</c:v>
                </c:pt>
                <c:pt idx="7">
                  <c:v>6.82</c:v>
                </c:pt>
              </c:numCache>
            </c:numRef>
          </c:xVal>
          <c:yVal>
            <c:numRef>
              <c:f>'DAY 3'!$B$27:$B$34</c:f>
              <c:numCache>
                <c:formatCode>General</c:formatCode>
                <c:ptCount val="8"/>
                <c:pt idx="0">
                  <c:v>3</c:v>
                </c:pt>
                <c:pt idx="1">
                  <c:v>50</c:v>
                </c:pt>
                <c:pt idx="2">
                  <c:v>400</c:v>
                </c:pt>
                <c:pt idx="3">
                  <c:v>700</c:v>
                </c:pt>
                <c:pt idx="4">
                  <c:v>1000</c:v>
                </c:pt>
                <c:pt idx="5">
                  <c:v>1245</c:v>
                </c:pt>
                <c:pt idx="6">
                  <c:v>1400</c:v>
                </c:pt>
                <c:pt idx="7">
                  <c:v>1700</c:v>
                </c:pt>
              </c:numCache>
            </c:numRef>
          </c:yVal>
        </c:ser>
        <c:axId val="82167680"/>
        <c:axId val="82210816"/>
      </c:scatterChart>
      <c:valAx>
        <c:axId val="82167680"/>
        <c:scaling>
          <c:orientation val="minMax"/>
          <c:max val="8"/>
        </c:scaling>
        <c:axPos val="t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Dissolved</a:t>
                </a:r>
                <a:r>
                  <a:rPr lang="en-US" baseline="0"/>
                  <a:t> Oxygen (mg/L)</a:t>
                </a:r>
              </a:p>
            </c:rich>
          </c:tx>
          <c:layout/>
          <c:spPr>
            <a:noFill/>
            <a:ln w="25400">
              <a:noFill/>
            </a:ln>
          </c:spPr>
        </c:title>
        <c:numFmt formatCode="0.00" sourceLinked="1"/>
        <c:maj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82210816"/>
        <c:crosses val="autoZero"/>
        <c:crossBetween val="midCat"/>
      </c:valAx>
      <c:valAx>
        <c:axId val="82210816"/>
        <c:scaling>
          <c:orientation val="maxMin"/>
          <c:max val="1800"/>
        </c:scaling>
        <c:axPos val="l"/>
        <c:majorGridlines>
          <c:spPr>
            <a:ln w="3175">
              <a:solidFill>
                <a:srgbClr val="80808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Depth (m)</a:t>
                </a:r>
              </a:p>
            </c:rich>
          </c:tx>
          <c:layout/>
          <c:spPr>
            <a:noFill/>
            <a:ln w="25400">
              <a:noFill/>
            </a:ln>
          </c:spPr>
        </c:title>
        <c:numFmt formatCode="General" sourceLinked="1"/>
        <c:maj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82167680"/>
        <c:crosses val="autoZero"/>
        <c:crossBetween val="midCat"/>
      </c:valAx>
      <c:spPr>
        <a:solidFill>
          <a:srgbClr val="FFFFFF"/>
        </a:solidFill>
        <a:ln w="25400">
          <a:noFill/>
        </a:ln>
      </c:spPr>
    </c:plotArea>
    <c:legend>
      <c:legendPos val="r"/>
      <c:layout>
        <c:manualLayout>
          <c:xMode val="edge"/>
          <c:yMode val="edge"/>
          <c:x val="0.81333227430693356"/>
          <c:y val="0.49295661642501032"/>
          <c:w val="0.17622573917731468"/>
          <c:h val="0.23395297114056643"/>
        </c:manualLayout>
      </c:layout>
      <c:spPr>
        <a:noFill/>
        <a:ln w="25400">
          <a:noFill/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</c:chart>
  <c:spPr>
    <a:solidFill>
      <a:srgbClr val="FFFFFF"/>
    </a:solidFill>
    <a:ln w="3175">
      <a:solidFill>
        <a:srgbClr val="808080"/>
      </a:solidFill>
      <a:prstDash val="soli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 sz="1600"/>
            </a:pPr>
            <a:r>
              <a:rPr lang="en-US" sz="1600"/>
              <a:t>OV</a:t>
            </a:r>
            <a:r>
              <a:rPr lang="en-US" sz="1600" baseline="0"/>
              <a:t> 252</a:t>
            </a:r>
            <a:endParaRPr lang="en-US" sz="1600"/>
          </a:p>
        </c:rich>
      </c:tx>
      <c:layout/>
      <c:spPr>
        <a:noFill/>
        <a:ln w="25400">
          <a:noFill/>
        </a:ln>
      </c:spPr>
    </c:title>
    <c:plotArea>
      <c:layout>
        <c:manualLayout>
          <c:layoutTarget val="inner"/>
          <c:xMode val="edge"/>
          <c:yMode val="edge"/>
          <c:x val="0.15199980208359129"/>
          <c:y val="0.41783941773167532"/>
          <c:w val="0.59999921875101703"/>
          <c:h val="0.48356696658834353"/>
        </c:manualLayout>
      </c:layout>
      <c:scatterChart>
        <c:scatterStyle val="lineMarker"/>
        <c:ser>
          <c:idx val="4"/>
          <c:order val="0"/>
          <c:tx>
            <c:v>CTD</c:v>
          </c:tx>
          <c:spPr>
            <a:ln w="28575">
              <a:noFill/>
            </a:ln>
          </c:spPr>
          <c:marker>
            <c:symbol val="triangle"/>
            <c:size val="7"/>
            <c:spPr>
              <a:solidFill>
                <a:srgbClr val="92D050"/>
              </a:solidFill>
            </c:spPr>
          </c:marker>
          <c:xVal>
            <c:numRef>
              <c:f>'DAY 3'!$C$19:$C$26</c:f>
              <c:numCache>
                <c:formatCode>0.00</c:formatCode>
                <c:ptCount val="8"/>
                <c:pt idx="0">
                  <c:v>6.27</c:v>
                </c:pt>
                <c:pt idx="1">
                  <c:v>7.41</c:v>
                </c:pt>
                <c:pt idx="2">
                  <c:v>3.6</c:v>
                </c:pt>
                <c:pt idx="3">
                  <c:v>4.47</c:v>
                </c:pt>
                <c:pt idx="4">
                  <c:v>5.79</c:v>
                </c:pt>
                <c:pt idx="5">
                  <c:v>6.41</c:v>
                </c:pt>
                <c:pt idx="6">
                  <c:v>6.71</c:v>
                </c:pt>
              </c:numCache>
            </c:numRef>
          </c:xVal>
          <c:yVal>
            <c:numRef>
              <c:f>'DAY 3'!$B$19:$B$26</c:f>
              <c:numCache>
                <c:formatCode>General</c:formatCode>
                <c:ptCount val="8"/>
                <c:pt idx="0">
                  <c:v>3</c:v>
                </c:pt>
                <c:pt idx="1">
                  <c:v>50</c:v>
                </c:pt>
                <c:pt idx="2">
                  <c:v>400</c:v>
                </c:pt>
                <c:pt idx="3">
                  <c:v>700</c:v>
                </c:pt>
                <c:pt idx="4">
                  <c:v>1000</c:v>
                </c:pt>
                <c:pt idx="5">
                  <c:v>1200</c:v>
                </c:pt>
                <c:pt idx="6">
                  <c:v>1400</c:v>
                </c:pt>
              </c:numCache>
            </c:numRef>
          </c:yVal>
        </c:ser>
        <c:ser>
          <c:idx val="5"/>
          <c:order val="1"/>
          <c:tx>
            <c:v>Field Probe</c:v>
          </c:tx>
          <c:spPr>
            <a:ln w="28575">
              <a:noFill/>
            </a:ln>
          </c:spPr>
          <c:marker>
            <c:symbol val="circle"/>
            <c:size val="7"/>
            <c:spPr>
              <a:solidFill>
                <a:srgbClr val="FFFF00"/>
              </a:solidFill>
            </c:spPr>
          </c:marker>
          <c:xVal>
            <c:numRef>
              <c:f>'DAY 3'!$D$19:$D$26</c:f>
              <c:numCache>
                <c:formatCode>0.00</c:formatCode>
                <c:ptCount val="8"/>
                <c:pt idx="0">
                  <c:v>6.33</c:v>
                </c:pt>
                <c:pt idx="1">
                  <c:v>7.41</c:v>
                </c:pt>
                <c:pt idx="2">
                  <c:v>3.73</c:v>
                </c:pt>
                <c:pt idx="3">
                  <c:v>4.55</c:v>
                </c:pt>
                <c:pt idx="4">
                  <c:v>5.82</c:v>
                </c:pt>
                <c:pt idx="5">
                  <c:v>6.43</c:v>
                </c:pt>
                <c:pt idx="6">
                  <c:v>6.7</c:v>
                </c:pt>
              </c:numCache>
            </c:numRef>
          </c:xVal>
          <c:yVal>
            <c:numRef>
              <c:f>'DAY 3'!$B$19:$B$26</c:f>
              <c:numCache>
                <c:formatCode>General</c:formatCode>
                <c:ptCount val="8"/>
                <c:pt idx="0">
                  <c:v>3</c:v>
                </c:pt>
                <c:pt idx="1">
                  <c:v>50</c:v>
                </c:pt>
                <c:pt idx="2">
                  <c:v>400</c:v>
                </c:pt>
                <c:pt idx="3">
                  <c:v>700</c:v>
                </c:pt>
                <c:pt idx="4">
                  <c:v>1000</c:v>
                </c:pt>
                <c:pt idx="5">
                  <c:v>1200</c:v>
                </c:pt>
                <c:pt idx="6">
                  <c:v>1400</c:v>
                </c:pt>
              </c:numCache>
            </c:numRef>
          </c:yVal>
        </c:ser>
        <c:ser>
          <c:idx val="0"/>
          <c:order val="2"/>
          <c:tx>
            <c:v>Winkler</c:v>
          </c:tx>
          <c:spPr>
            <a:ln w="28575">
              <a:noFill/>
            </a:ln>
          </c:spPr>
          <c:xVal>
            <c:numRef>
              <c:f>'DAY 3'!$E$19:$E$26</c:f>
              <c:numCache>
                <c:formatCode>General</c:formatCode>
                <c:ptCount val="8"/>
                <c:pt idx="1">
                  <c:v>7.14</c:v>
                </c:pt>
                <c:pt idx="2">
                  <c:v>3.45</c:v>
                </c:pt>
                <c:pt idx="3">
                  <c:v>4.3600000000000003</c:v>
                </c:pt>
                <c:pt idx="5">
                  <c:v>6.21</c:v>
                </c:pt>
                <c:pt idx="6">
                  <c:v>6.6</c:v>
                </c:pt>
              </c:numCache>
            </c:numRef>
          </c:xVal>
          <c:yVal>
            <c:numRef>
              <c:f>'DAY 3'!$B$19:$B$26</c:f>
              <c:numCache>
                <c:formatCode>General</c:formatCode>
                <c:ptCount val="8"/>
                <c:pt idx="0">
                  <c:v>3</c:v>
                </c:pt>
                <c:pt idx="1">
                  <c:v>50</c:v>
                </c:pt>
                <c:pt idx="2">
                  <c:v>400</c:v>
                </c:pt>
                <c:pt idx="3">
                  <c:v>700</c:v>
                </c:pt>
                <c:pt idx="4">
                  <c:v>1000</c:v>
                </c:pt>
                <c:pt idx="5">
                  <c:v>1200</c:v>
                </c:pt>
                <c:pt idx="6">
                  <c:v>1400</c:v>
                </c:pt>
              </c:numCache>
            </c:numRef>
          </c:yVal>
        </c:ser>
        <c:axId val="80426880"/>
        <c:axId val="80431360"/>
      </c:scatterChart>
      <c:valAx>
        <c:axId val="80426880"/>
        <c:scaling>
          <c:orientation val="minMax"/>
          <c:max val="8"/>
        </c:scaling>
        <c:axPos val="t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Dissolved</a:t>
                </a:r>
                <a:r>
                  <a:rPr lang="en-US" baseline="0"/>
                  <a:t> Oxygen (mg/L)</a:t>
                </a:r>
              </a:p>
            </c:rich>
          </c:tx>
          <c:layout/>
          <c:spPr>
            <a:noFill/>
            <a:ln w="25400">
              <a:noFill/>
            </a:ln>
          </c:spPr>
        </c:title>
        <c:numFmt formatCode="0.00" sourceLinked="1"/>
        <c:maj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80431360"/>
        <c:crosses val="autoZero"/>
        <c:crossBetween val="midCat"/>
      </c:valAx>
      <c:valAx>
        <c:axId val="80431360"/>
        <c:scaling>
          <c:orientation val="maxMin"/>
          <c:max val="1800"/>
        </c:scaling>
        <c:axPos val="l"/>
        <c:majorGridlines>
          <c:spPr>
            <a:ln w="3175">
              <a:solidFill>
                <a:srgbClr val="80808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Depth (m)</a:t>
                </a:r>
              </a:p>
            </c:rich>
          </c:tx>
          <c:layout/>
          <c:spPr>
            <a:noFill/>
            <a:ln w="25400">
              <a:noFill/>
            </a:ln>
          </c:spPr>
        </c:title>
        <c:numFmt formatCode="General" sourceLinked="1"/>
        <c:maj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80426880"/>
        <c:crosses val="autoZero"/>
        <c:crossBetween val="midCat"/>
      </c:valAx>
      <c:spPr>
        <a:solidFill>
          <a:srgbClr val="FFFFFF"/>
        </a:solidFill>
        <a:ln w="25400">
          <a:noFill/>
        </a:ln>
      </c:spPr>
    </c:plotArea>
    <c:legend>
      <c:legendPos val="r"/>
      <c:layout>
        <c:manualLayout>
          <c:xMode val="edge"/>
          <c:yMode val="edge"/>
          <c:x val="0.81333227430693356"/>
          <c:y val="0.48826179150667731"/>
          <c:w val="0.17622569721347972"/>
          <c:h val="0.23395297114056643"/>
        </c:manualLayout>
      </c:layout>
      <c:spPr>
        <a:noFill/>
        <a:ln w="25400">
          <a:noFill/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</c:chart>
  <c:spPr>
    <a:solidFill>
      <a:srgbClr val="FFFFFF"/>
    </a:solidFill>
    <a:ln w="3175">
      <a:solidFill>
        <a:srgbClr val="808080"/>
      </a:solidFill>
      <a:prstDash val="soli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 sz="1600"/>
            </a:pPr>
            <a:r>
              <a:rPr lang="en-US" sz="1600"/>
              <a:t>OV</a:t>
            </a:r>
            <a:r>
              <a:rPr lang="en-US" sz="1600" baseline="0"/>
              <a:t> 251</a:t>
            </a:r>
          </a:p>
        </c:rich>
      </c:tx>
      <c:layout/>
      <c:spPr>
        <a:noFill/>
        <a:ln w="25400">
          <a:noFill/>
        </a:ln>
      </c:spPr>
    </c:title>
    <c:plotArea>
      <c:layout/>
      <c:scatterChart>
        <c:scatterStyle val="lineMarker"/>
        <c:ser>
          <c:idx val="4"/>
          <c:order val="0"/>
          <c:tx>
            <c:v>CTD</c:v>
          </c:tx>
          <c:spPr>
            <a:ln w="28575">
              <a:noFill/>
            </a:ln>
          </c:spPr>
          <c:marker>
            <c:symbol val="triangle"/>
            <c:size val="7"/>
            <c:spPr>
              <a:solidFill>
                <a:srgbClr val="92D050"/>
              </a:solidFill>
            </c:spPr>
          </c:marker>
          <c:xVal>
            <c:numRef>
              <c:f>'DAY 3'!$C$11:$C$18</c:f>
              <c:numCache>
                <c:formatCode>0.00</c:formatCode>
                <c:ptCount val="8"/>
                <c:pt idx="0">
                  <c:v>6.29</c:v>
                </c:pt>
                <c:pt idx="1">
                  <c:v>7.27</c:v>
                </c:pt>
                <c:pt idx="2">
                  <c:v>3.6</c:v>
                </c:pt>
                <c:pt idx="3">
                  <c:v>4.53</c:v>
                </c:pt>
                <c:pt idx="4">
                  <c:v>5.81</c:v>
                </c:pt>
                <c:pt idx="5">
                  <c:v>5.93</c:v>
                </c:pt>
                <c:pt idx="6">
                  <c:v>6.65</c:v>
                </c:pt>
                <c:pt idx="7">
                  <c:v>6.95</c:v>
                </c:pt>
              </c:numCache>
            </c:numRef>
          </c:xVal>
          <c:yVal>
            <c:numRef>
              <c:f>'DAY 3'!$B$11:$B$18</c:f>
              <c:numCache>
                <c:formatCode>General</c:formatCode>
                <c:ptCount val="8"/>
                <c:pt idx="0">
                  <c:v>3</c:v>
                </c:pt>
                <c:pt idx="1">
                  <c:v>50</c:v>
                </c:pt>
                <c:pt idx="2">
                  <c:v>390</c:v>
                </c:pt>
                <c:pt idx="3">
                  <c:v>700</c:v>
                </c:pt>
                <c:pt idx="4">
                  <c:v>1000</c:v>
                </c:pt>
                <c:pt idx="5">
                  <c:v>1114</c:v>
                </c:pt>
                <c:pt idx="6">
                  <c:v>1300</c:v>
                </c:pt>
                <c:pt idx="7">
                  <c:v>1700</c:v>
                </c:pt>
              </c:numCache>
            </c:numRef>
          </c:yVal>
        </c:ser>
        <c:ser>
          <c:idx val="5"/>
          <c:order val="1"/>
          <c:tx>
            <c:v>Field Probe</c:v>
          </c:tx>
          <c:spPr>
            <a:ln w="28575">
              <a:noFill/>
            </a:ln>
          </c:spPr>
          <c:marker>
            <c:symbol val="circle"/>
            <c:size val="7"/>
            <c:spPr>
              <a:solidFill>
                <a:srgbClr val="FFFF00"/>
              </a:solidFill>
            </c:spPr>
          </c:marker>
          <c:xVal>
            <c:numRef>
              <c:f>'DAY 3'!$D$11:$D$18</c:f>
              <c:numCache>
                <c:formatCode>0.00</c:formatCode>
                <c:ptCount val="8"/>
                <c:pt idx="0">
                  <c:v>6.35</c:v>
                </c:pt>
                <c:pt idx="1">
                  <c:v>7.32</c:v>
                </c:pt>
                <c:pt idx="2">
                  <c:v>3.72</c:v>
                </c:pt>
                <c:pt idx="3">
                  <c:v>4.6100000000000003</c:v>
                </c:pt>
                <c:pt idx="4">
                  <c:v>5.83</c:v>
                </c:pt>
                <c:pt idx="5">
                  <c:v>5.98</c:v>
                </c:pt>
                <c:pt idx="6">
                  <c:v>6.62</c:v>
                </c:pt>
                <c:pt idx="7">
                  <c:v>6.85</c:v>
                </c:pt>
              </c:numCache>
            </c:numRef>
          </c:xVal>
          <c:yVal>
            <c:numRef>
              <c:f>'DAY 3'!$B$11:$B$18</c:f>
              <c:numCache>
                <c:formatCode>General</c:formatCode>
                <c:ptCount val="8"/>
                <c:pt idx="0">
                  <c:v>3</c:v>
                </c:pt>
                <c:pt idx="1">
                  <c:v>50</c:v>
                </c:pt>
                <c:pt idx="2">
                  <c:v>390</c:v>
                </c:pt>
                <c:pt idx="3">
                  <c:v>700</c:v>
                </c:pt>
                <c:pt idx="4">
                  <c:v>1000</c:v>
                </c:pt>
                <c:pt idx="5">
                  <c:v>1114</c:v>
                </c:pt>
                <c:pt idx="6">
                  <c:v>1300</c:v>
                </c:pt>
                <c:pt idx="7">
                  <c:v>1700</c:v>
                </c:pt>
              </c:numCache>
            </c:numRef>
          </c:yVal>
        </c:ser>
        <c:ser>
          <c:idx val="0"/>
          <c:order val="2"/>
          <c:tx>
            <c:v>Winkler</c:v>
          </c:tx>
          <c:spPr>
            <a:ln w="28575">
              <a:noFill/>
            </a:ln>
          </c:spPr>
          <c:xVal>
            <c:numRef>
              <c:f>'DAY 3'!$E$11:$E$18</c:f>
              <c:numCache>
                <c:formatCode>General</c:formatCode>
                <c:ptCount val="8"/>
                <c:pt idx="1">
                  <c:v>6.95</c:v>
                </c:pt>
                <c:pt idx="2">
                  <c:v>3.52</c:v>
                </c:pt>
                <c:pt idx="3">
                  <c:v>4.4000000000000004</c:v>
                </c:pt>
                <c:pt idx="5">
                  <c:v>5.75</c:v>
                </c:pt>
                <c:pt idx="7">
                  <c:v>6.84</c:v>
                </c:pt>
              </c:numCache>
            </c:numRef>
          </c:xVal>
          <c:yVal>
            <c:numRef>
              <c:f>'DAY 3'!$B$11:$B$18</c:f>
              <c:numCache>
                <c:formatCode>General</c:formatCode>
                <c:ptCount val="8"/>
                <c:pt idx="0">
                  <c:v>3</c:v>
                </c:pt>
                <c:pt idx="1">
                  <c:v>50</c:v>
                </c:pt>
                <c:pt idx="2">
                  <c:v>390</c:v>
                </c:pt>
                <c:pt idx="3">
                  <c:v>700</c:v>
                </c:pt>
                <c:pt idx="4">
                  <c:v>1000</c:v>
                </c:pt>
                <c:pt idx="5">
                  <c:v>1114</c:v>
                </c:pt>
                <c:pt idx="6">
                  <c:v>1300</c:v>
                </c:pt>
                <c:pt idx="7">
                  <c:v>1700</c:v>
                </c:pt>
              </c:numCache>
            </c:numRef>
          </c:yVal>
        </c:ser>
        <c:axId val="82483456"/>
        <c:axId val="90685824"/>
      </c:scatterChart>
      <c:valAx>
        <c:axId val="82483456"/>
        <c:scaling>
          <c:orientation val="minMax"/>
        </c:scaling>
        <c:axPos val="t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Dissolved</a:t>
                </a:r>
                <a:r>
                  <a:rPr lang="en-US" baseline="0"/>
                  <a:t> Oxygen (mg/L)</a:t>
                </a:r>
              </a:p>
            </c:rich>
          </c:tx>
          <c:layout/>
          <c:spPr>
            <a:noFill/>
            <a:ln w="25400">
              <a:noFill/>
            </a:ln>
          </c:spPr>
        </c:title>
        <c:numFmt formatCode="0.00" sourceLinked="1"/>
        <c:maj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90685824"/>
        <c:crosses val="autoZero"/>
        <c:crossBetween val="midCat"/>
      </c:valAx>
      <c:valAx>
        <c:axId val="90685824"/>
        <c:scaling>
          <c:orientation val="maxMin"/>
          <c:max val="1800"/>
        </c:scaling>
        <c:axPos val="l"/>
        <c:majorGridlines>
          <c:spPr>
            <a:ln w="3175">
              <a:solidFill>
                <a:srgbClr val="80808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Depth (m)</a:t>
                </a:r>
              </a:p>
            </c:rich>
          </c:tx>
          <c:layout/>
          <c:spPr>
            <a:noFill/>
            <a:ln w="25400">
              <a:noFill/>
            </a:ln>
          </c:spPr>
        </c:title>
        <c:numFmt formatCode="General" sourceLinked="1"/>
        <c:maj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82483456"/>
        <c:crosses val="autoZero"/>
        <c:crossBetween val="midCat"/>
      </c:valAx>
      <c:spPr>
        <a:solidFill>
          <a:srgbClr val="FFFFFF"/>
        </a:solidFill>
        <a:ln w="25400">
          <a:noFill/>
        </a:ln>
      </c:spPr>
    </c:plotArea>
    <c:legend>
      <c:legendPos val="r"/>
      <c:layout>
        <c:manualLayout>
          <c:xMode val="edge"/>
          <c:yMode val="edge"/>
          <c:x val="0.78669291338582681"/>
          <c:y val="0.48799297569818162"/>
          <c:w val="0.17411945511175081"/>
          <c:h val="0.27316565645121699"/>
        </c:manualLayout>
      </c:layout>
      <c:spPr>
        <a:noFill/>
        <a:ln w="25400">
          <a:noFill/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</c:chart>
  <c:spPr>
    <a:solidFill>
      <a:srgbClr val="FFFFFF"/>
    </a:solidFill>
    <a:ln w="3175">
      <a:solidFill>
        <a:srgbClr val="808080"/>
      </a:solidFill>
      <a:prstDash val="soli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 sz="1400"/>
            </a:pPr>
            <a:r>
              <a:rPr lang="en-US" sz="1400" b="1" i="0" baseline="0"/>
              <a:t>Correlation of DO Instruments (09-10-2010)</a:t>
            </a:r>
          </a:p>
        </c:rich>
      </c:tx>
      <c:layout/>
      <c:spPr>
        <a:noFill/>
        <a:ln w="25400">
          <a:noFill/>
        </a:ln>
      </c:spPr>
    </c:title>
    <c:plotArea>
      <c:layout>
        <c:manualLayout>
          <c:layoutTarget val="inner"/>
          <c:xMode val="edge"/>
          <c:yMode val="edge"/>
          <c:x val="0.141176348940416"/>
          <c:y val="0.30092626605706896"/>
          <c:w val="0.53411718682457499"/>
          <c:h val="0.45370421651680976"/>
        </c:manualLayout>
      </c:layout>
      <c:scatterChart>
        <c:scatterStyle val="lineMarker"/>
        <c:ser>
          <c:idx val="0"/>
          <c:order val="0"/>
          <c:tx>
            <c:strRef>
              <c:f>'Corr. DAY 3'!$E$3</c:f>
              <c:strCache>
                <c:ptCount val="1"/>
                <c:pt idx="0">
                  <c:v>OV250</c:v>
                </c:pt>
              </c:strCache>
            </c:strRef>
          </c:tx>
          <c:spPr>
            <a:ln w="28575">
              <a:noFill/>
            </a:ln>
          </c:spPr>
          <c:marker>
            <c:spPr>
              <a:solidFill>
                <a:srgbClr val="4F81BD"/>
              </a:solidFill>
              <a:ln>
                <a:solidFill>
                  <a:srgbClr val="666699"/>
                </a:solidFill>
                <a:prstDash val="solid"/>
              </a:ln>
            </c:spPr>
          </c:marker>
          <c:trendline>
            <c:spPr>
              <a:ln w="3175">
                <a:solidFill>
                  <a:srgbClr val="000000"/>
                </a:solidFill>
                <a:prstDash val="solid"/>
              </a:ln>
            </c:spPr>
            <c:trendlineType val="linear"/>
            <c:dispRSqr val="1"/>
            <c:trendlineLbl>
              <c:layout>
                <c:manualLayout>
                  <c:x val="0.48708809983657736"/>
                  <c:y val="-0.16599943079404247"/>
                </c:manualLayout>
              </c:layout>
              <c:tx>
                <c:rich>
                  <a:bodyPr/>
                  <a:lstStyle/>
                  <a:p>
                    <a:pPr>
                      <a:defRPr>
                        <a:solidFill>
                          <a:srgbClr val="0070C0"/>
                        </a:solidFill>
                      </a:defRPr>
                    </a:pPr>
                    <a:r>
                      <a:rPr lang="en-US" baseline="0"/>
                      <a:t>R² = 0.9888</a:t>
                    </a:r>
                    <a:endParaRPr lang="en-US"/>
                  </a:p>
                </c:rich>
              </c:tx>
              <c:numFmt formatCode="General" sourceLinked="0"/>
              <c:spPr>
                <a:noFill/>
                <a:ln w="25400">
                  <a:noFill/>
                </a:ln>
              </c:spPr>
            </c:trendlineLbl>
          </c:trendline>
          <c:xVal>
            <c:numRef>
              <c:f>'Corr. DAY 3'!$C$3:$C$10</c:f>
              <c:numCache>
                <c:formatCode>General</c:formatCode>
                <c:ptCount val="8"/>
                <c:pt idx="0">
                  <c:v>6.28</c:v>
                </c:pt>
                <c:pt idx="1">
                  <c:v>7.17</c:v>
                </c:pt>
                <c:pt idx="2">
                  <c:v>3.69</c:v>
                </c:pt>
                <c:pt idx="3">
                  <c:v>4.5</c:v>
                </c:pt>
                <c:pt idx="4">
                  <c:v>5.79</c:v>
                </c:pt>
                <c:pt idx="5">
                  <c:v>5.82</c:v>
                </c:pt>
                <c:pt idx="6">
                  <c:v>6.79</c:v>
                </c:pt>
                <c:pt idx="7">
                  <c:v>6.88</c:v>
                </c:pt>
              </c:numCache>
            </c:numRef>
          </c:xVal>
          <c:yVal>
            <c:numRef>
              <c:f>'Corr. DAY 3'!$D$3:$D$10</c:f>
              <c:numCache>
                <c:formatCode>General</c:formatCode>
                <c:ptCount val="8"/>
                <c:pt idx="0">
                  <c:v>6.3</c:v>
                </c:pt>
                <c:pt idx="1">
                  <c:v>7.24</c:v>
                </c:pt>
                <c:pt idx="2">
                  <c:v>3.82</c:v>
                </c:pt>
                <c:pt idx="3">
                  <c:v>4.6399999999999997</c:v>
                </c:pt>
                <c:pt idx="4">
                  <c:v>5.83</c:v>
                </c:pt>
                <c:pt idx="5">
                  <c:v>5.88</c:v>
                </c:pt>
                <c:pt idx="6">
                  <c:v>6.83</c:v>
                </c:pt>
                <c:pt idx="7">
                  <c:v>6.89</c:v>
                </c:pt>
              </c:numCache>
            </c:numRef>
          </c:yVal>
        </c:ser>
        <c:ser>
          <c:idx val="1"/>
          <c:order val="1"/>
          <c:tx>
            <c:strRef>
              <c:f>'Corr. DAY 3'!$E$11</c:f>
              <c:strCache>
                <c:ptCount val="1"/>
                <c:pt idx="0">
                  <c:v>OV251</c:v>
                </c:pt>
              </c:strCache>
            </c:strRef>
          </c:tx>
          <c:spPr>
            <a:ln w="28575">
              <a:noFill/>
            </a:ln>
          </c:spPr>
          <c:marker>
            <c:spPr>
              <a:solidFill>
                <a:srgbClr val="C0504D"/>
              </a:solidFill>
              <a:ln>
                <a:solidFill>
                  <a:srgbClr val="DD2D32"/>
                </a:solidFill>
                <a:prstDash val="solid"/>
              </a:ln>
            </c:spPr>
          </c:marker>
          <c:trendline>
            <c:spPr>
              <a:ln w="3175">
                <a:solidFill>
                  <a:srgbClr val="000000"/>
                </a:solidFill>
                <a:prstDash val="solid"/>
              </a:ln>
            </c:spPr>
            <c:trendlineType val="linear"/>
            <c:dispRSqr val="1"/>
            <c:trendlineLbl>
              <c:layout>
                <c:manualLayout>
                  <c:x val="0.48444234565018995"/>
                  <c:y val="-5.448508421660881E-3"/>
                </c:manualLayout>
              </c:layout>
              <c:numFmt formatCode="General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>
                      <a:solidFill>
                        <a:srgbClr val="C00000"/>
                      </a:solidFill>
                    </a:defRPr>
                  </a:pPr>
                  <a:endParaRPr lang="en-US"/>
                </a:p>
              </c:txPr>
            </c:trendlineLbl>
          </c:trendline>
          <c:xVal>
            <c:numRef>
              <c:f>'Corr. DAY 3'!$C$11:$C$18</c:f>
              <c:numCache>
                <c:formatCode>General</c:formatCode>
                <c:ptCount val="8"/>
                <c:pt idx="0">
                  <c:v>6.29</c:v>
                </c:pt>
                <c:pt idx="1">
                  <c:v>7.27</c:v>
                </c:pt>
                <c:pt idx="2">
                  <c:v>3.6</c:v>
                </c:pt>
                <c:pt idx="3">
                  <c:v>4.53</c:v>
                </c:pt>
                <c:pt idx="4">
                  <c:v>5.81</c:v>
                </c:pt>
                <c:pt idx="5">
                  <c:v>5.93</c:v>
                </c:pt>
                <c:pt idx="6">
                  <c:v>6.65</c:v>
                </c:pt>
                <c:pt idx="7">
                  <c:v>6.95</c:v>
                </c:pt>
              </c:numCache>
            </c:numRef>
          </c:xVal>
          <c:yVal>
            <c:numRef>
              <c:f>'Corr. DAY 3'!$D$11:$D$18</c:f>
              <c:numCache>
                <c:formatCode>General</c:formatCode>
                <c:ptCount val="8"/>
                <c:pt idx="0">
                  <c:v>6.35</c:v>
                </c:pt>
                <c:pt idx="1">
                  <c:v>7.32</c:v>
                </c:pt>
                <c:pt idx="2">
                  <c:v>3.72</c:v>
                </c:pt>
                <c:pt idx="3">
                  <c:v>4.6100000000000003</c:v>
                </c:pt>
                <c:pt idx="4">
                  <c:v>5.83</c:v>
                </c:pt>
                <c:pt idx="5">
                  <c:v>5.98</c:v>
                </c:pt>
                <c:pt idx="6">
                  <c:v>6.62</c:v>
                </c:pt>
                <c:pt idx="7">
                  <c:v>6.85</c:v>
                </c:pt>
              </c:numCache>
            </c:numRef>
          </c:yVal>
        </c:ser>
        <c:ser>
          <c:idx val="2"/>
          <c:order val="2"/>
          <c:tx>
            <c:strRef>
              <c:f>'Corr. DAY 3'!$E$19</c:f>
              <c:strCache>
                <c:ptCount val="1"/>
                <c:pt idx="0">
                  <c:v>OV252</c:v>
                </c:pt>
              </c:strCache>
            </c:strRef>
          </c:tx>
          <c:spPr>
            <a:ln w="28575">
              <a:noFill/>
            </a:ln>
          </c:spPr>
          <c:marker>
            <c:spPr>
              <a:solidFill>
                <a:srgbClr val="9BBB59"/>
              </a:solidFill>
              <a:ln>
                <a:solidFill>
                  <a:srgbClr val="99CC00"/>
                </a:solidFill>
                <a:prstDash val="solid"/>
              </a:ln>
            </c:spPr>
          </c:marker>
          <c:trendline>
            <c:spPr>
              <a:ln w="3175">
                <a:solidFill>
                  <a:srgbClr val="000000"/>
                </a:solidFill>
                <a:prstDash val="solid"/>
              </a:ln>
            </c:spPr>
            <c:trendlineType val="linear"/>
            <c:dispRSqr val="1"/>
            <c:trendlineLbl>
              <c:layout>
                <c:manualLayout>
                  <c:x val="0.47696457754101507"/>
                  <c:y val="0.16866952419556536"/>
                </c:manualLayout>
              </c:layout>
              <c:tx>
                <c:rich>
                  <a:bodyPr/>
                  <a:lstStyle/>
                  <a:p>
                    <a:pPr>
                      <a:defRPr>
                        <a:solidFill>
                          <a:srgbClr val="92D050"/>
                        </a:solidFill>
                      </a:defRPr>
                    </a:pPr>
                    <a:r>
                      <a:rPr lang="en-US"/>
                      <a:t>R² = 0.9570</a:t>
                    </a:r>
                  </a:p>
                </c:rich>
              </c:tx>
              <c:numFmt formatCode="General" sourceLinked="0"/>
              <c:spPr>
                <a:noFill/>
                <a:ln w="25400">
                  <a:noFill/>
                </a:ln>
              </c:spPr>
            </c:trendlineLbl>
          </c:trendline>
          <c:xVal>
            <c:numRef>
              <c:f>'Corr. DAY 3'!$C$19:$C$26</c:f>
              <c:numCache>
                <c:formatCode>General</c:formatCode>
                <c:ptCount val="8"/>
                <c:pt idx="0">
                  <c:v>6.27</c:v>
                </c:pt>
                <c:pt idx="1">
                  <c:v>7.41</c:v>
                </c:pt>
                <c:pt idx="2">
                  <c:v>3.6</c:v>
                </c:pt>
                <c:pt idx="3">
                  <c:v>4.47</c:v>
                </c:pt>
                <c:pt idx="4">
                  <c:v>5.79</c:v>
                </c:pt>
                <c:pt idx="5">
                  <c:v>6.41</c:v>
                </c:pt>
                <c:pt idx="6">
                  <c:v>6.71</c:v>
                </c:pt>
              </c:numCache>
            </c:numRef>
          </c:xVal>
          <c:yVal>
            <c:numRef>
              <c:f>'Corr. DAY 3'!$D$19:$D$26</c:f>
              <c:numCache>
                <c:formatCode>General</c:formatCode>
                <c:ptCount val="8"/>
                <c:pt idx="0">
                  <c:v>6.33</c:v>
                </c:pt>
                <c:pt idx="1">
                  <c:v>7.41</c:v>
                </c:pt>
                <c:pt idx="2">
                  <c:v>3.73</c:v>
                </c:pt>
                <c:pt idx="3">
                  <c:v>4.55</c:v>
                </c:pt>
                <c:pt idx="4">
                  <c:v>5.82</c:v>
                </c:pt>
                <c:pt idx="5">
                  <c:v>6.43</c:v>
                </c:pt>
                <c:pt idx="6">
                  <c:v>6.7</c:v>
                </c:pt>
              </c:numCache>
            </c:numRef>
          </c:yVal>
        </c:ser>
        <c:ser>
          <c:idx val="3"/>
          <c:order val="3"/>
          <c:tx>
            <c:strRef>
              <c:f>'Corr. DAY 3'!$E$27</c:f>
              <c:strCache>
                <c:ptCount val="1"/>
                <c:pt idx="0">
                  <c:v>OV253</c:v>
                </c:pt>
              </c:strCache>
            </c:strRef>
          </c:tx>
          <c:spPr>
            <a:ln w="28575">
              <a:noFill/>
            </a:ln>
          </c:spPr>
          <c:marker>
            <c:spPr>
              <a:solidFill>
                <a:srgbClr val="8064A2"/>
              </a:solidFill>
              <a:ln>
                <a:solidFill>
                  <a:srgbClr val="666699"/>
                </a:solidFill>
                <a:prstDash val="solid"/>
              </a:ln>
            </c:spPr>
          </c:marker>
          <c:trendline>
            <c:spPr>
              <a:ln w="3175">
                <a:solidFill>
                  <a:srgbClr val="000000"/>
                </a:solidFill>
                <a:prstDash val="solid"/>
              </a:ln>
            </c:spPr>
            <c:trendlineType val="linear"/>
            <c:dispRSqr val="1"/>
            <c:trendlineLbl>
              <c:layout>
                <c:manualLayout>
                  <c:x val="0.47536239573826888"/>
                  <c:y val="0.33150416986485731"/>
                </c:manualLayout>
              </c:layout>
              <c:numFmt formatCode="General" sourceLinked="0"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</a:defRPr>
                  </a:pPr>
                  <a:endParaRPr lang="en-US"/>
                </a:p>
              </c:txPr>
            </c:trendlineLbl>
          </c:trendline>
          <c:xVal>
            <c:numRef>
              <c:f>'Corr. DAY 3'!$C$27:$C$34</c:f>
              <c:numCache>
                <c:formatCode>General</c:formatCode>
                <c:ptCount val="8"/>
                <c:pt idx="0">
                  <c:v>6.31</c:v>
                </c:pt>
                <c:pt idx="1">
                  <c:v>7.44</c:v>
                </c:pt>
                <c:pt idx="2">
                  <c:v>3.6</c:v>
                </c:pt>
                <c:pt idx="3">
                  <c:v>4.4800000000000004</c:v>
                </c:pt>
                <c:pt idx="4">
                  <c:v>5.72</c:v>
                </c:pt>
                <c:pt idx="5">
                  <c:v>6.44</c:v>
                </c:pt>
                <c:pt idx="6">
                  <c:v>6.69</c:v>
                </c:pt>
                <c:pt idx="7">
                  <c:v>6.97</c:v>
                </c:pt>
              </c:numCache>
            </c:numRef>
          </c:xVal>
          <c:yVal>
            <c:numRef>
              <c:f>'Corr. DAY 3'!$D$27:$D$34</c:f>
              <c:numCache>
                <c:formatCode>General</c:formatCode>
                <c:ptCount val="8"/>
                <c:pt idx="0">
                  <c:v>6.33</c:v>
                </c:pt>
                <c:pt idx="1">
                  <c:v>7.43</c:v>
                </c:pt>
                <c:pt idx="2">
                  <c:v>3.69</c:v>
                </c:pt>
                <c:pt idx="3">
                  <c:v>4.59</c:v>
                </c:pt>
                <c:pt idx="4">
                  <c:v>5.7</c:v>
                </c:pt>
                <c:pt idx="5">
                  <c:v>6.45</c:v>
                </c:pt>
                <c:pt idx="6">
                  <c:v>6.68</c:v>
                </c:pt>
                <c:pt idx="7">
                  <c:v>6.96</c:v>
                </c:pt>
              </c:numCache>
            </c:numRef>
          </c:yVal>
        </c:ser>
        <c:ser>
          <c:idx val="4"/>
          <c:order val="4"/>
          <c:tx>
            <c:v>45 Degree Line</c:v>
          </c:tx>
          <c:spPr>
            <a:ln w="28575">
              <a:solidFill>
                <a:srgbClr val="000000"/>
              </a:solidFill>
            </a:ln>
          </c:spPr>
          <c:marker>
            <c:symbol val="none"/>
          </c:marker>
          <c:xVal>
            <c:numRef>
              <c:f>'Corr. DAY 3'!$C$35:$C$43</c:f>
              <c:numCache>
                <c:formatCode>General</c:formatCode>
                <c:ptCount val="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0</c:v>
                </c:pt>
              </c:numCache>
            </c:numRef>
          </c:xVal>
          <c:yVal>
            <c:numRef>
              <c:f>'Corr. DAY 3'!$D$35:$D$43</c:f>
              <c:numCache>
                <c:formatCode>General</c:formatCode>
                <c:ptCount val="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0</c:v>
                </c:pt>
              </c:numCache>
            </c:numRef>
          </c:yVal>
        </c:ser>
        <c:axId val="74220288"/>
        <c:axId val="74481024"/>
      </c:scatterChart>
      <c:valAx>
        <c:axId val="74220288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CTD (mg/L)</a:t>
                </a:r>
              </a:p>
            </c:rich>
          </c:tx>
          <c:layout/>
          <c:spPr>
            <a:noFill/>
            <a:ln w="25400">
              <a:noFill/>
            </a:ln>
          </c:spPr>
        </c:title>
        <c:numFmt formatCode="General" sourceLinked="1"/>
        <c:maj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74481024"/>
        <c:crosses val="autoZero"/>
        <c:crossBetween val="midCat"/>
      </c:valAx>
      <c:valAx>
        <c:axId val="74481024"/>
        <c:scaling>
          <c:orientation val="minMax"/>
        </c:scaling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ProODO</a:t>
                </a:r>
                <a:r>
                  <a:rPr lang="en-US" baseline="0"/>
                  <a:t> F</a:t>
                </a:r>
                <a:r>
                  <a:rPr lang="en-US"/>
                  <a:t>ield</a:t>
                </a:r>
                <a:r>
                  <a:rPr lang="en-US" baseline="0"/>
                  <a:t> Probe (mg/L)</a:t>
                </a:r>
                <a:endParaRPr lang="en-US"/>
              </a:p>
            </c:rich>
          </c:tx>
          <c:layout/>
          <c:spPr>
            <a:noFill/>
            <a:ln w="25400">
              <a:noFill/>
            </a:ln>
          </c:spPr>
        </c:title>
        <c:numFmt formatCode="General" sourceLinked="1"/>
        <c:majorTickMark val="none"/>
        <c:tickLblPos val="nextTo"/>
        <c:spPr>
          <a:ln w="317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74220288"/>
        <c:crosses val="autoZero"/>
        <c:crossBetween val="midCat"/>
      </c:valAx>
    </c:plotArea>
    <c:legend>
      <c:legendPos val="r"/>
      <c:legendEntry>
        <c:idx val="5"/>
        <c:delete val="1"/>
      </c:legendEntry>
      <c:legendEntry>
        <c:idx val="6"/>
        <c:delete val="1"/>
      </c:legendEntry>
      <c:legendEntry>
        <c:idx val="7"/>
        <c:delete val="1"/>
      </c:legendEntry>
      <c:legendEntry>
        <c:idx val="8"/>
        <c:delete val="1"/>
      </c:legendEntry>
      <c:layout>
        <c:manualLayout>
          <c:xMode val="edge"/>
          <c:yMode val="edge"/>
          <c:x val="0.70323068107052655"/>
          <c:y val="0.16526739743512361"/>
          <c:w val="0.23132075471698113"/>
          <c:h val="0.77365956309130612"/>
        </c:manualLayout>
      </c:layout>
      <c:spPr>
        <a:noFill/>
        <a:ln w="25400">
          <a:noFill/>
        </a:ln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</c:chart>
  <c:spPr>
    <a:solidFill>
      <a:srgbClr val="FFFFFF"/>
    </a:solidFill>
    <a:ln w="3175">
      <a:solidFill>
        <a:srgbClr val="808080"/>
      </a:solidFill>
      <a:prstDash val="soli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2010-09-11T00:55:00Z</dcterms:created>
  <dcterms:modified xsi:type="dcterms:W3CDTF">2010-09-11T00:55:00Z</dcterms:modified>
</cp:coreProperties>
</file>