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360"/>
        <w:ind w:left="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Symbiont community monitoring in Gulf of Chiriquí and Gulf of Panama 2018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Methods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</w:rPr>
        <w:t>Field sampling</w:t>
      </w:r>
    </w:p>
    <w:p>
      <w:pPr>
        <w:pStyle w:val="Normal"/>
        <w:spacing w:lineRule="auto" w:line="360"/>
        <w:ind w:firstLine="72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During August 2018, 131 colonies of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 xml:space="preserve">Pocillopora </w:t>
      </w:r>
      <w:r>
        <w:rPr>
          <w:rFonts w:eastAsia="Times New Roman" w:cs="Times New Roman" w:ascii="Times New Roman" w:hAnsi="Times New Roman"/>
          <w:sz w:val="24"/>
          <w:szCs w:val="24"/>
        </w:rPr>
        <w:t>spp. were sampled to establish coral’s Symbiodiniaceae community composition. All samples were collected from the tops of colonies by clipping ~1 cm from a branch tip using bone cutters. Samples were kept in sealed plastic bags inside in a shaded bucket with seawater, until processed 5 to 6 h after the first sample collection. The samples were preserved by incubating for 90 min at 65°C in 400-800 μL of a solution of 1% SDS and DNA buffer</w:t>
      </w:r>
      <w:hyperlink r:id="rId2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(Rowan and Powers 1991)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>.</w:t>
      </w:r>
    </w:p>
    <w:p>
      <w:pPr>
        <w:pStyle w:val="Heading3"/>
        <w:keepNext/>
        <w:keepLines w:val="false"/>
        <w:spacing w:lineRule="auto" w:line="360" w:before="280" w:after="80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szCs w:val="24"/>
        </w:rPr>
      </w:pPr>
      <w:bookmarkStart w:id="0" w:name="_jx3emsyud312"/>
      <w:bookmarkEnd w:id="0"/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</w:rPr>
        <w:t>Laboratory analysis</w:t>
      </w:r>
    </w:p>
    <w:p>
      <w:pPr>
        <w:pStyle w:val="Normal"/>
        <w:spacing w:lineRule="auto" w:line="360"/>
        <w:ind w:firstLine="72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We used 100 μL aliquots from the SDS lysates to extract and purify genomic DNA following established procedures</w:t>
      </w:r>
      <w:hyperlink r:id="rId3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(Baker and Cunning 2016)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 xml:space="preserve">. Total genomic DNA was used as template in TaqMan-MGB (Life Technologies) qPCR assays to assess the composition (identity and abundance) of algal symbiont communities. The symbiont to host (S/H) cell ratio, a metric of symbiont abundance </w:t>
      </w:r>
      <w:hyperlink r:id="rId4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(Mieog et al. 2009; Cunning and Baker 2013)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 xml:space="preserve">, was estimated using qPCR assays that target the actin gene in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Pocillopora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and its symbionts in the genus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Cladocopium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and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Durusdinium</w:t>
      </w:r>
      <w:r>
        <w:rPr>
          <w:rFonts w:eastAsia="Times New Roman" w:cs="Times New Roman" w:ascii="Times New Roman" w:hAnsi="Times New Roman"/>
          <w:sz w:val="24"/>
          <w:szCs w:val="24"/>
        </w:rPr>
        <w:t>. Primers, probes and PCR conditions followed Cunning and Baker (2013). All reactions were run in duplicate on a StepOnePlus Real-Time PCR System (Applied Biosystems, Foster City, CA), with a ΔRn threshold = 0.01 to estimate the cycle threshold (CT) of each sample and target.</w:t>
      </w:r>
    </w:p>
    <w:p>
      <w:pPr>
        <w:pStyle w:val="Normal"/>
        <w:spacing w:lineRule="auto" w:line="360"/>
        <w:ind w:firstLine="720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The StepOneR repository for R</w:t>
      </w:r>
      <w:hyperlink r:id="rId5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(Cunning 2018)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 xml:space="preserve"> was used to calculate the genus-specific symbiont to host (S/H) cell ratios (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Cladocopium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to Host [C/H], and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Durusdinium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to Host [D/H]). This repository uses the cycle threshold (CT) values obtained from the qPCR reactions to calculate the ratios using the formula 2^(CT host - CT symbiont). The ratios are corrected using additional information about target ploidy, fluorophore intensity, and DNA extraction efficiency</w:t>
      </w:r>
      <w:hyperlink r:id="rId6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(Mieog et al. 2009; Cunning and Baker 2013)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 xml:space="preserve">. Finally, we calculated the total S/H symbiont to host cell ratio as the sum of all algal genera ratios present in the sample (total S/H = C/H + D/H) and the proportion of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>Durusdinium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in the total community [(D/H)/(S/H)]. Prior to data analysis, we applied quality filters to discard data from plates with amplification in no-template (negative) controls, targets in which one of the two technical replicates did not amplify, and samples in which the CT standard deviation between technical replicates was higher than 1.5.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References</w:t>
      </w:r>
    </w:p>
    <w:p>
      <w:pPr>
        <w:pStyle w:val="Normal"/>
        <w:keepNext/>
        <w:keepLines w:val="false"/>
        <w:widowControl w:val="false"/>
        <w:pBdr/>
        <w:shd w:val="clear" w:fill="auto"/>
        <w:spacing w:lineRule="auto" w:line="360" w:before="240" w:after="0"/>
        <w:ind w:left="480" w:right="0" w:hanging="480"/>
        <w:jc w:val="left"/>
        <w:rPr/>
      </w:pPr>
      <w:hyperlink r:id="rId7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Baker, Andrew, and Ross Cunning. 2016. “Bulk gDNA Extraction from Coral Samples v1 (protocols.io.dyq7vv).” </w:t>
        </w:r>
      </w:hyperlink>
      <w:hyperlink r:id="rId8">
        <w:r>
          <w:rPr>
            <w:rStyle w:val="InternetLink"/>
            <w:rFonts w:eastAsia="Times New Roman" w:cs="Times New Roman" w:ascii="Times New Roman" w:hAnsi="Times New Roman"/>
            <w:i/>
            <w:color w:val="000000"/>
            <w:sz w:val="24"/>
            <w:szCs w:val="24"/>
            <w:u w:val="none"/>
          </w:rPr>
          <w:t>Protocols.io</w:t>
        </w:r>
      </w:hyperlink>
      <w:hyperlink r:id="rId9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. https://doi.org/</w:t>
        </w:r>
      </w:hyperlink>
      <w:hyperlink r:id="rId10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10.17504/protocols.io.dyq7vv</w:t>
        </w:r>
      </w:hyperlink>
      <w:hyperlink r:id="rId11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.</w:t>
        </w:r>
      </w:hyperlink>
    </w:p>
    <w:p>
      <w:pPr>
        <w:pStyle w:val="Normal"/>
        <w:keepNext/>
        <w:keepLines w:val="false"/>
        <w:widowControl w:val="false"/>
        <w:pBdr/>
        <w:shd w:val="clear" w:fill="auto"/>
        <w:spacing w:lineRule="auto" w:line="360" w:before="0" w:after="0"/>
        <w:ind w:left="480" w:right="0" w:hanging="480"/>
        <w:jc w:val="left"/>
        <w:rPr/>
      </w:pPr>
      <w:hyperlink r:id="rId12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Cunning, Ross. 2018. </w:t>
        </w:r>
      </w:hyperlink>
      <w:hyperlink r:id="rId13">
        <w:r>
          <w:rPr>
            <w:rStyle w:val="InternetLink"/>
            <w:rFonts w:eastAsia="Times New Roman" w:cs="Times New Roman" w:ascii="Times New Roman" w:hAnsi="Times New Roman"/>
            <w:i/>
            <w:color w:val="000000"/>
            <w:sz w:val="24"/>
            <w:szCs w:val="24"/>
            <w:u w:val="none"/>
          </w:rPr>
          <w:t>SteponeR: R Package for Importing qPCR Data from StepOne</w:t>
        </w:r>
      </w:hyperlink>
      <w:hyperlink r:id="rId14">
        <w:r>
          <w:rPr>
            <w:rStyle w:val="InternetLink"/>
            <w:rFonts w:eastAsia="Times New Roman" w:cs="Times New Roman" w:ascii="Times New Roman" w:hAnsi="Times New Roman"/>
            <w:i/>
            <w:color w:val="000000"/>
            <w:sz w:val="24"/>
            <w:szCs w:val="24"/>
            <w:u w:val="none"/>
            <w:vertAlign w:val="superscript"/>
          </w:rPr>
          <w:t>TM</w:t>
        </w:r>
      </w:hyperlink>
      <w:hyperlink r:id="rId15">
        <w:r>
          <w:rPr>
            <w:rStyle w:val="InternetLink"/>
            <w:rFonts w:eastAsia="Times New Roman" w:cs="Times New Roman" w:ascii="Times New Roman" w:hAnsi="Times New Roman"/>
            <w:i/>
            <w:color w:val="000000"/>
            <w:sz w:val="24"/>
            <w:szCs w:val="24"/>
            <w:u w:val="none"/>
          </w:rPr>
          <w:t xml:space="preserve"> Software</w:t>
        </w:r>
      </w:hyperlink>
      <w:hyperlink r:id="rId16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 (version v0.1.0). https://doi.org/</w:t>
        </w:r>
      </w:hyperlink>
      <w:hyperlink r:id="rId17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10.5281/zenodo.1173321</w:t>
        </w:r>
      </w:hyperlink>
      <w:hyperlink r:id="rId18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>.</w:t>
        </w:r>
      </w:hyperlink>
    </w:p>
    <w:p>
      <w:pPr>
        <w:pStyle w:val="Normal"/>
        <w:keepNext/>
        <w:keepLines w:val="false"/>
        <w:widowControl w:val="false"/>
        <w:pBdr/>
        <w:shd w:val="clear" w:fill="auto"/>
        <w:spacing w:lineRule="auto" w:line="360" w:before="0" w:after="0"/>
        <w:ind w:left="480" w:right="0" w:hanging="480"/>
        <w:jc w:val="left"/>
        <w:rPr/>
      </w:pPr>
      <w:hyperlink r:id="rId19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Cunning, Ross, and Andrew C. Baker. 2013. “Excess Algal Symbionts Increase the Susceptibility of Reef Corals to Bleaching.” </w:t>
        </w:r>
      </w:hyperlink>
      <w:hyperlink r:id="rId20">
        <w:r>
          <w:rPr>
            <w:rStyle w:val="InternetLink"/>
            <w:rFonts w:eastAsia="Times New Roman" w:cs="Times New Roman" w:ascii="Times New Roman" w:hAnsi="Times New Roman"/>
            <w:i/>
            <w:color w:val="000000"/>
            <w:sz w:val="24"/>
            <w:szCs w:val="24"/>
            <w:u w:val="none"/>
          </w:rPr>
          <w:t>Nature Climate Change</w:t>
        </w:r>
      </w:hyperlink>
      <w:hyperlink r:id="rId21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 3: 259.</w:t>
        </w:r>
      </w:hyperlink>
    </w:p>
    <w:p>
      <w:pPr>
        <w:pStyle w:val="Normal"/>
        <w:keepNext/>
        <w:keepLines w:val="false"/>
        <w:widowControl w:val="false"/>
        <w:pBdr/>
        <w:shd w:val="clear" w:fill="auto"/>
        <w:spacing w:lineRule="auto" w:line="360" w:before="0" w:after="0"/>
        <w:ind w:left="480" w:right="0" w:hanging="480"/>
        <w:jc w:val="left"/>
        <w:rPr/>
      </w:pPr>
      <w:hyperlink r:id="rId22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Mieog, Jos C., Madeleine J. H. van Oppen, Ray Berkelmans, W. T. Stam, and Jeanine L. Olsen. 2009. “Quantification of Algal Endosymbionts (Symbiodinium) in Coral Tissue Using Real-Time PCR.” </w:t>
        </w:r>
      </w:hyperlink>
      <w:hyperlink r:id="rId23">
        <w:r>
          <w:rPr>
            <w:rStyle w:val="InternetLink"/>
            <w:rFonts w:eastAsia="Times New Roman" w:cs="Times New Roman" w:ascii="Times New Roman" w:hAnsi="Times New Roman"/>
            <w:i/>
            <w:color w:val="000000"/>
            <w:sz w:val="24"/>
            <w:szCs w:val="24"/>
            <w:u w:val="none"/>
          </w:rPr>
          <w:t>Molecular Ecology Resources</w:t>
        </w:r>
      </w:hyperlink>
      <w:hyperlink r:id="rId24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 9 (1): 74–82.</w:t>
        </w:r>
      </w:hyperlink>
    </w:p>
    <w:p>
      <w:pPr>
        <w:pStyle w:val="Normal"/>
        <w:keepNext/>
        <w:keepLines w:val="false"/>
        <w:widowControl w:val="false"/>
        <w:pBdr/>
        <w:shd w:val="clear" w:fill="auto"/>
        <w:spacing w:lineRule="auto" w:line="360" w:before="0" w:after="240"/>
        <w:ind w:left="480" w:right="0" w:hanging="480"/>
        <w:jc w:val="left"/>
        <w:rPr/>
      </w:pPr>
      <w:hyperlink r:id="rId25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Rowan, Rob, and Dennis A. Powers. 1991. “Molecular Genetic Identification of Symbiotic Dinoflagellates (zooxanthellae).” </w:t>
        </w:r>
      </w:hyperlink>
      <w:hyperlink r:id="rId26">
        <w:r>
          <w:rPr>
            <w:rStyle w:val="InternetLink"/>
            <w:rFonts w:eastAsia="Times New Roman" w:cs="Times New Roman" w:ascii="Times New Roman" w:hAnsi="Times New Roman"/>
            <w:i/>
            <w:color w:val="000000"/>
            <w:sz w:val="24"/>
            <w:szCs w:val="24"/>
            <w:u w:val="none"/>
          </w:rPr>
          <w:t>Marine Ecology Progress Series</w:t>
        </w:r>
      </w:hyperlink>
      <w:hyperlink r:id="rId27">
        <w:r>
          <w:rPr>
            <w:rStyle w:val="InternetLink"/>
            <w:rFonts w:eastAsia="Times New Roman" w:cs="Times New Roman" w:ascii="Times New Roman" w:hAnsi="Times New Roman"/>
            <w:color w:val="000000"/>
            <w:sz w:val="24"/>
            <w:szCs w:val="24"/>
            <w:u w:val="none"/>
          </w:rPr>
          <w:t xml:space="preserve"> 71: 65–73.</w:t>
        </w:r>
      </w:hyperlink>
    </w:p>
    <w:p>
      <w:pPr>
        <w:pStyle w:val="Normal"/>
        <w:keepNext/>
        <w:keepLines w:val="false"/>
        <w:widowControl w:val="false"/>
        <w:pBdr/>
        <w:shd w:val="clear" w:fill="auto"/>
        <w:spacing w:lineRule="auto" w:line="360" w:before="0" w:after="0"/>
        <w:ind w:left="0" w:right="0" w:hanging="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pacing w:lineRule="auto" w:line="276"/>
    </w:pPr>
    <w:rPr>
      <w:rFonts w:ascii="Arial" w:hAnsi="Arial" w:eastAsia="Arial" w:cs="Arial"/>
      <w:color w:val="auto"/>
      <w:sz w:val="22"/>
      <w:szCs w:val="22"/>
      <w:lang w:val="en" w:eastAsia="zh-CN" w:bidi="hi-IN"/>
    </w:rPr>
  </w:style>
  <w:style w:type="paragraph" w:styleId="Heading1">
    <w:name w:val="Heading 1"/>
    <w:basedOn w:val="Normal1"/>
    <w:next w:val="Normal"/>
    <w:qFormat/>
    <w:pPr>
      <w:keepNext/>
      <w:keepLines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"/>
    <w:qFormat/>
    <w:pPr>
      <w:keepNext/>
      <w:keepLines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"/>
    <w:qFormat/>
    <w:pPr>
      <w:keepNext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"/>
    <w:qFormat/>
    <w:pPr>
      <w:keepNext/>
      <w:keepLines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"/>
    <w:qFormat/>
    <w:pPr>
      <w:keepNext/>
      <w:keepLines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"/>
    <w:qFormat/>
    <w:pPr>
      <w:keepNext/>
      <w:keepLines/>
      <w:spacing w:lineRule="auto" w:line="240" w:before="240" w:after="80"/>
    </w:pPr>
    <w:rPr>
      <w:i/>
      <w:color w:val="666666"/>
      <w:sz w:val="22"/>
      <w:szCs w:val="22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sz w:val="22"/>
      <w:szCs w:val="22"/>
      <w:lang w:val="en" w:eastAsia="zh-CN" w:bidi="hi-IN"/>
    </w:rPr>
  </w:style>
  <w:style w:type="paragraph" w:styleId="Title">
    <w:name w:val="Title"/>
    <w:basedOn w:val="Normal1"/>
    <w:next w:val="Normal"/>
    <w:qFormat/>
    <w:pPr>
      <w:keepNext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"/>
    <w:qFormat/>
    <w:pPr>
      <w:keepNext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perpile.com/c/uhkxKa/nkogW" TargetMode="External"/><Relationship Id="rId3" Type="http://schemas.openxmlformats.org/officeDocument/2006/relationships/hyperlink" Target="https://paperpile.com/c/uhkxKa/yLnxY" TargetMode="External"/><Relationship Id="rId4" Type="http://schemas.openxmlformats.org/officeDocument/2006/relationships/hyperlink" Target="https://paperpile.com/c/uhkxKa/LYKDK+ik1BX" TargetMode="External"/><Relationship Id="rId5" Type="http://schemas.openxmlformats.org/officeDocument/2006/relationships/hyperlink" Target="https://paperpile.com/c/uhkxKa/Cqp9U" TargetMode="External"/><Relationship Id="rId6" Type="http://schemas.openxmlformats.org/officeDocument/2006/relationships/hyperlink" Target="https://paperpile.com/c/uhkxKa/LYKDK+ik1BX" TargetMode="External"/><Relationship Id="rId7" Type="http://schemas.openxmlformats.org/officeDocument/2006/relationships/hyperlink" Target="http://paperpile.com/b/uhkxKa/yLnxY" TargetMode="External"/><Relationship Id="rId8" Type="http://schemas.openxmlformats.org/officeDocument/2006/relationships/hyperlink" Target="http://paperpile.com/b/uhkxKa/yLnxY" TargetMode="External"/><Relationship Id="rId9" Type="http://schemas.openxmlformats.org/officeDocument/2006/relationships/hyperlink" Target="http://paperpile.com/b/uhkxKa/yLnxY" TargetMode="External"/><Relationship Id="rId10" Type="http://schemas.openxmlformats.org/officeDocument/2006/relationships/hyperlink" Target="http://dx.doi.org/10.17504/protocols.io.dyq7vv" TargetMode="External"/><Relationship Id="rId11" Type="http://schemas.openxmlformats.org/officeDocument/2006/relationships/hyperlink" Target="http://paperpile.com/b/uhkxKa/yLnxY" TargetMode="External"/><Relationship Id="rId12" Type="http://schemas.openxmlformats.org/officeDocument/2006/relationships/hyperlink" Target="http://paperpile.com/b/uhkxKa/Cqp9U" TargetMode="External"/><Relationship Id="rId13" Type="http://schemas.openxmlformats.org/officeDocument/2006/relationships/hyperlink" Target="http://paperpile.com/b/uhkxKa/Cqp9U" TargetMode="External"/><Relationship Id="rId14" Type="http://schemas.openxmlformats.org/officeDocument/2006/relationships/hyperlink" Target="http://paperpile.com/b/uhkxKa/Cqp9U" TargetMode="External"/><Relationship Id="rId15" Type="http://schemas.openxmlformats.org/officeDocument/2006/relationships/hyperlink" Target="http://paperpile.com/b/uhkxKa/Cqp9U" TargetMode="External"/><Relationship Id="rId16" Type="http://schemas.openxmlformats.org/officeDocument/2006/relationships/hyperlink" Target="http://paperpile.com/b/uhkxKa/Cqp9U" TargetMode="External"/><Relationship Id="rId17" Type="http://schemas.openxmlformats.org/officeDocument/2006/relationships/hyperlink" Target="http://dx.doi.org/10.5281/zenodo.1173321" TargetMode="External"/><Relationship Id="rId18" Type="http://schemas.openxmlformats.org/officeDocument/2006/relationships/hyperlink" Target="http://paperpile.com/b/uhkxKa/Cqp9U" TargetMode="External"/><Relationship Id="rId19" Type="http://schemas.openxmlformats.org/officeDocument/2006/relationships/hyperlink" Target="http://paperpile.com/b/uhkxKa/ik1BX" TargetMode="External"/><Relationship Id="rId20" Type="http://schemas.openxmlformats.org/officeDocument/2006/relationships/hyperlink" Target="http://paperpile.com/b/uhkxKa/ik1BX" TargetMode="External"/><Relationship Id="rId21" Type="http://schemas.openxmlformats.org/officeDocument/2006/relationships/hyperlink" Target="http://paperpile.com/b/uhkxKa/ik1BX" TargetMode="External"/><Relationship Id="rId22" Type="http://schemas.openxmlformats.org/officeDocument/2006/relationships/hyperlink" Target="http://paperpile.com/b/uhkxKa/LYKDK" TargetMode="External"/><Relationship Id="rId23" Type="http://schemas.openxmlformats.org/officeDocument/2006/relationships/hyperlink" Target="http://paperpile.com/b/uhkxKa/LYKDK" TargetMode="External"/><Relationship Id="rId24" Type="http://schemas.openxmlformats.org/officeDocument/2006/relationships/hyperlink" Target="http://paperpile.com/b/uhkxKa/LYKDK" TargetMode="External"/><Relationship Id="rId25" Type="http://schemas.openxmlformats.org/officeDocument/2006/relationships/hyperlink" Target="http://paperpile.com/b/uhkxKa/nkogW" TargetMode="External"/><Relationship Id="rId26" Type="http://schemas.openxmlformats.org/officeDocument/2006/relationships/hyperlink" Target="http://paperpile.com/b/uhkxKa/nkogW" TargetMode="External"/><Relationship Id="rId27" Type="http://schemas.openxmlformats.org/officeDocument/2006/relationships/hyperlink" Target="http://paperpile.com/b/uhkxKa/nkogW" TargetMode="External"/><Relationship Id="rId28" Type="http://schemas.openxmlformats.org/officeDocument/2006/relationships/fontTable" Target="fontTable.xml"/><Relationship Id="rId29" Type="http://schemas.openxmlformats.org/officeDocument/2006/relationships/settings" Target="settings.xml"/><Relationship Id="rId3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2</Pages>
  <Words>507</Words>
  <Characters>2857</Characters>
  <CharactersWithSpaces>3349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2019-01-31T23:04:53Z</dcterms:modified>
  <cp:revision>1</cp:revision>
  <dc:subject/>
  <dc:title/>
</cp:coreProperties>
</file>