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4.xml" ContentType="application/vnd.openxmlformats-officedocument.drawingml.chart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CCC" w:rsidRDefault="00C740B1">
      <w:r w:rsidRPr="00C740B1">
        <w:t xml:space="preserve">Dissolved oxygen measurements taken </w:t>
      </w:r>
      <w:r>
        <w:t xml:space="preserve">by the CTD and the </w:t>
      </w:r>
      <w:proofErr w:type="spellStart"/>
      <w:r>
        <w:t>ProODO</w:t>
      </w:r>
      <w:proofErr w:type="spellEnd"/>
      <w:r>
        <w:t xml:space="preserve"> field probe </w:t>
      </w:r>
      <w:r w:rsidR="00FA11AF">
        <w:t>on 08/2</w:t>
      </w:r>
      <w:r w:rsidR="007C126D">
        <w:t>6</w:t>
      </w:r>
      <w:r w:rsidRPr="00C740B1">
        <w:t xml:space="preserve">/2010 </w:t>
      </w:r>
      <w:r w:rsidR="00726F42">
        <w:t>trend together following a similar dissolved oxygen curve through the water profile</w:t>
      </w:r>
      <w:r w:rsidR="005268C3">
        <w:t xml:space="preserve">.  </w:t>
      </w:r>
      <w:r w:rsidRPr="00C740B1">
        <w:t xml:space="preserve">CTD readings </w:t>
      </w:r>
      <w:r w:rsidR="00726F42">
        <w:t xml:space="preserve">were </w:t>
      </w:r>
      <w:r w:rsidRPr="00C740B1">
        <w:t xml:space="preserve">taken underwater at actual temperature and depth.  </w:t>
      </w:r>
      <w:proofErr w:type="spellStart"/>
      <w:r w:rsidRPr="00C740B1">
        <w:t>ProODO</w:t>
      </w:r>
      <w:proofErr w:type="spellEnd"/>
      <w:r w:rsidRPr="00C740B1">
        <w:t xml:space="preserve"> Field Probe readings </w:t>
      </w:r>
      <w:r w:rsidR="00726F42">
        <w:t xml:space="preserve">were </w:t>
      </w:r>
      <w:r w:rsidRPr="00C740B1">
        <w:t xml:space="preserve">taken on deck in </w:t>
      </w:r>
      <w:proofErr w:type="spellStart"/>
      <w:r w:rsidRPr="00C740B1">
        <w:t>Nisken</w:t>
      </w:r>
      <w:proofErr w:type="spellEnd"/>
      <w:r w:rsidRPr="00C740B1">
        <w:t xml:space="preserve"> bottles immediately upon rosette recovery.</w:t>
      </w:r>
      <w:r w:rsidR="00726F42">
        <w:t xml:space="preserve">  Readings were usually several tenths mg/L oxygen</w:t>
      </w:r>
      <w:r w:rsidR="001720F6">
        <w:t xml:space="preserve"> higher than the CTD readings.  </w:t>
      </w:r>
      <w:r w:rsidR="005268C3">
        <w:t xml:space="preserve">Field probe readings and CTD readings are more precise for samples taken at deeper depths.  </w:t>
      </w:r>
      <w:r w:rsidR="00726F42">
        <w:t>These findings are consistent with readings from the two probes during earlier cruises in past weeks.</w:t>
      </w:r>
      <w:r w:rsidR="00260C3E">
        <w:t xml:space="preserve">  No sheen was found in any of the </w:t>
      </w:r>
      <w:proofErr w:type="spellStart"/>
      <w:r w:rsidR="00260C3E">
        <w:t>Nisken</w:t>
      </w:r>
      <w:proofErr w:type="spellEnd"/>
      <w:r w:rsidR="00260C3E">
        <w:t xml:space="preserve"> bottles at any of the sampled depths. </w:t>
      </w:r>
    </w:p>
    <w:p w:rsidR="007C126D" w:rsidRDefault="00E015CC">
      <w:r w:rsidRPr="00E015CC">
        <w:drawing>
          <wp:inline distT="0" distB="0" distL="0" distR="0">
            <wp:extent cx="4324350" cy="2771775"/>
            <wp:effectExtent l="19050" t="0" r="1905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E015CC" w:rsidRDefault="00E015CC">
      <w:r w:rsidRPr="00E015CC">
        <w:drawing>
          <wp:inline distT="0" distB="0" distL="0" distR="0">
            <wp:extent cx="4314825" cy="2800350"/>
            <wp:effectExtent l="19050" t="0" r="9525" b="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E015CC" w:rsidRDefault="00E015CC">
      <w:r w:rsidRPr="00E015CC">
        <w:lastRenderedPageBreak/>
        <w:drawing>
          <wp:inline distT="0" distB="0" distL="0" distR="0">
            <wp:extent cx="4314825" cy="2971801"/>
            <wp:effectExtent l="19050" t="0" r="9525" b="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E015CC" w:rsidRDefault="00E015CC">
      <w:r w:rsidRPr="00E015CC">
        <w:drawing>
          <wp:inline distT="0" distB="0" distL="0" distR="0">
            <wp:extent cx="5648325" cy="3581400"/>
            <wp:effectExtent l="19050" t="0" r="9525" b="0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643FBD" w:rsidRDefault="00643FBD"/>
    <w:sectPr w:rsidR="00643FBD" w:rsidSect="00DE4B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740B1"/>
    <w:rsid w:val="001720F6"/>
    <w:rsid w:val="00260C3E"/>
    <w:rsid w:val="003F6A13"/>
    <w:rsid w:val="00480CEE"/>
    <w:rsid w:val="004D4A0B"/>
    <w:rsid w:val="005268C3"/>
    <w:rsid w:val="005A22CE"/>
    <w:rsid w:val="00643FBD"/>
    <w:rsid w:val="006F3CCC"/>
    <w:rsid w:val="00726F42"/>
    <w:rsid w:val="007C126D"/>
    <w:rsid w:val="00824548"/>
    <w:rsid w:val="0083246D"/>
    <w:rsid w:val="0099180A"/>
    <w:rsid w:val="00A03790"/>
    <w:rsid w:val="00A64ED8"/>
    <w:rsid w:val="00AD45FD"/>
    <w:rsid w:val="00B14C38"/>
    <w:rsid w:val="00C740B1"/>
    <w:rsid w:val="00CA58A4"/>
    <w:rsid w:val="00D560EF"/>
    <w:rsid w:val="00DE4BD0"/>
    <w:rsid w:val="00E015CC"/>
    <w:rsid w:val="00FA11AF"/>
    <w:rsid w:val="00FA36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4B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6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60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chart" Target="charts/chart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5" Type="http://schemas.openxmlformats.org/officeDocument/2006/relationships/chart" Target="charts/chart2.xml"/><Relationship Id="rId4" Type="http://schemas.openxmlformats.org/officeDocument/2006/relationships/chart" Target="charts/chart1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Owner\Documents\OV_DDSP_Data_Forms\Cruise_Folders\Cruise_16\Meter-CTD%20Oxygen%20Measurements%20OV16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Owner\Documents\OV_DDSP_Data_Forms\Cruise_Folders\Cruise_16\Meter-CTD%20Oxygen%20Measurements%20OV16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Owner\Documents\OV_DDSP_Data_Forms\Cruise_Folders\Cruise_16\Meter-CTD%20Oxygen%20Measurements%20OV16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Owner\Documents\OV_DDSP_Data_Forms\Cruise_Folders\Cruise_16\Meter-CTD%20Oxygen%20Measurements%20OV16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title>
      <c:tx>
        <c:rich>
          <a:bodyPr/>
          <a:lstStyle/>
          <a:p>
            <a:pPr>
              <a:defRPr sz="1600"/>
            </a:pPr>
            <a:r>
              <a:rPr lang="en-US" sz="1600"/>
              <a:t>OV205</a:t>
            </a:r>
          </a:p>
        </c:rich>
      </c:tx>
      <c:layout/>
    </c:title>
    <c:plotArea>
      <c:layout/>
      <c:scatterChart>
        <c:scatterStyle val="lineMarker"/>
        <c:ser>
          <c:idx val="2"/>
          <c:order val="0"/>
          <c:tx>
            <c:v>CTD</c:v>
          </c:tx>
          <c:spPr>
            <a:ln w="28575">
              <a:noFill/>
            </a:ln>
          </c:spPr>
          <c:marker>
            <c:symbol val="triangle"/>
            <c:size val="7"/>
            <c:spPr>
              <a:solidFill>
                <a:srgbClr val="92D050"/>
              </a:solidFill>
            </c:spPr>
          </c:marker>
          <c:xVal>
            <c:numRef>
              <c:f>'8-26-2010'!$C$3:$C$10</c:f>
              <c:numCache>
                <c:formatCode>0.00</c:formatCode>
                <c:ptCount val="8"/>
                <c:pt idx="0">
                  <c:v>6.3</c:v>
                </c:pt>
                <c:pt idx="1">
                  <c:v>7</c:v>
                </c:pt>
                <c:pt idx="2">
                  <c:v>3.85</c:v>
                </c:pt>
                <c:pt idx="3">
                  <c:v>4.1399999999999997</c:v>
                </c:pt>
                <c:pt idx="4">
                  <c:v>4.53</c:v>
                </c:pt>
                <c:pt idx="5">
                  <c:v>4.9400000000000004</c:v>
                </c:pt>
                <c:pt idx="6">
                  <c:v>5.44</c:v>
                </c:pt>
                <c:pt idx="7">
                  <c:v>5.57</c:v>
                </c:pt>
              </c:numCache>
            </c:numRef>
          </c:xVal>
          <c:yVal>
            <c:numRef>
              <c:f>'8-26-2010'!$B$3:$B$10</c:f>
              <c:numCache>
                <c:formatCode>General</c:formatCode>
                <c:ptCount val="8"/>
                <c:pt idx="0">
                  <c:v>3</c:v>
                </c:pt>
                <c:pt idx="1">
                  <c:v>50</c:v>
                </c:pt>
                <c:pt idx="2">
                  <c:v>400</c:v>
                </c:pt>
                <c:pt idx="3">
                  <c:v>600</c:v>
                </c:pt>
                <c:pt idx="4">
                  <c:v>700</c:v>
                </c:pt>
                <c:pt idx="5">
                  <c:v>800</c:v>
                </c:pt>
                <c:pt idx="6">
                  <c:v>900</c:v>
                </c:pt>
                <c:pt idx="7">
                  <c:v>950</c:v>
                </c:pt>
              </c:numCache>
            </c:numRef>
          </c:yVal>
        </c:ser>
        <c:ser>
          <c:idx val="3"/>
          <c:order val="1"/>
          <c:tx>
            <c:v>Field Probe</c:v>
          </c:tx>
          <c:spPr>
            <a:ln w="28575">
              <a:noFill/>
            </a:ln>
          </c:spPr>
          <c:marker>
            <c:symbol val="circle"/>
            <c:size val="7"/>
            <c:spPr>
              <a:solidFill>
                <a:srgbClr val="FFFF00"/>
              </a:solidFill>
            </c:spPr>
          </c:marker>
          <c:xVal>
            <c:numRef>
              <c:f>'8-26-2010'!$D$3:$D$10</c:f>
              <c:numCache>
                <c:formatCode>0.00</c:formatCode>
                <c:ptCount val="8"/>
                <c:pt idx="0">
                  <c:v>7.2</c:v>
                </c:pt>
                <c:pt idx="1">
                  <c:v>8.01</c:v>
                </c:pt>
                <c:pt idx="2">
                  <c:v>4.53</c:v>
                </c:pt>
                <c:pt idx="3">
                  <c:v>5.85</c:v>
                </c:pt>
                <c:pt idx="4">
                  <c:v>5.36</c:v>
                </c:pt>
                <c:pt idx="5">
                  <c:v>5.65</c:v>
                </c:pt>
                <c:pt idx="6">
                  <c:v>6.08</c:v>
                </c:pt>
                <c:pt idx="7">
                  <c:v>6.19</c:v>
                </c:pt>
              </c:numCache>
            </c:numRef>
          </c:xVal>
          <c:yVal>
            <c:numRef>
              <c:f>'8-26-2010'!$B$3:$B$10</c:f>
              <c:numCache>
                <c:formatCode>General</c:formatCode>
                <c:ptCount val="8"/>
                <c:pt idx="0">
                  <c:v>3</c:v>
                </c:pt>
                <c:pt idx="1">
                  <c:v>50</c:v>
                </c:pt>
                <c:pt idx="2">
                  <c:v>400</c:v>
                </c:pt>
                <c:pt idx="3">
                  <c:v>600</c:v>
                </c:pt>
                <c:pt idx="4">
                  <c:v>700</c:v>
                </c:pt>
                <c:pt idx="5">
                  <c:v>800</c:v>
                </c:pt>
                <c:pt idx="6">
                  <c:v>900</c:v>
                </c:pt>
                <c:pt idx="7">
                  <c:v>950</c:v>
                </c:pt>
              </c:numCache>
            </c:numRef>
          </c:yVal>
        </c:ser>
        <c:axId val="86459904"/>
        <c:axId val="86472576"/>
      </c:scatterChart>
      <c:valAx>
        <c:axId val="86459904"/>
        <c:scaling>
          <c:orientation val="minMax"/>
          <c:max val="10"/>
        </c:scaling>
        <c:axPos val="t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Dissolved</a:t>
                </a:r>
                <a:r>
                  <a:rPr lang="en-US" baseline="0"/>
                  <a:t> Oxygen (mg/L)</a:t>
                </a:r>
              </a:p>
            </c:rich>
          </c:tx>
          <c:layout/>
        </c:title>
        <c:numFmt formatCode="0.00" sourceLinked="1"/>
        <c:majorTickMark val="none"/>
        <c:tickLblPos val="nextTo"/>
        <c:crossAx val="86472576"/>
        <c:crosses val="autoZero"/>
        <c:crossBetween val="midCat"/>
      </c:valAx>
      <c:valAx>
        <c:axId val="86472576"/>
        <c:scaling>
          <c:orientation val="maxMin"/>
          <c:max val="1800"/>
        </c:scaling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Depth (m)</a:t>
                </a:r>
              </a:p>
            </c:rich>
          </c:tx>
          <c:layout/>
        </c:title>
        <c:numFmt formatCode="General" sourceLinked="1"/>
        <c:majorTickMark val="none"/>
        <c:tickLblPos val="nextTo"/>
        <c:crossAx val="86459904"/>
        <c:crosses val="autoZero"/>
        <c:crossBetween val="midCat"/>
      </c:valAx>
    </c:plotArea>
    <c:legend>
      <c:legendPos val="r"/>
      <c:layout/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title>
      <c:tx>
        <c:rich>
          <a:bodyPr/>
          <a:lstStyle/>
          <a:p>
            <a:pPr>
              <a:defRPr sz="1600"/>
            </a:pPr>
            <a:r>
              <a:rPr lang="en-US" sz="1600"/>
              <a:t>OV206</a:t>
            </a:r>
          </a:p>
        </c:rich>
      </c:tx>
      <c:layout/>
    </c:title>
    <c:plotArea>
      <c:layout/>
      <c:scatterChart>
        <c:scatterStyle val="lineMarker"/>
        <c:ser>
          <c:idx val="4"/>
          <c:order val="0"/>
          <c:tx>
            <c:v>CTD</c:v>
          </c:tx>
          <c:spPr>
            <a:ln w="28575">
              <a:noFill/>
            </a:ln>
          </c:spPr>
          <c:marker>
            <c:symbol val="triangle"/>
            <c:size val="7"/>
            <c:spPr>
              <a:solidFill>
                <a:srgbClr val="92D050"/>
              </a:solidFill>
            </c:spPr>
          </c:marker>
          <c:xVal>
            <c:numRef>
              <c:f>'8-26-2010'!$C$11:$C$18</c:f>
              <c:numCache>
                <c:formatCode>0.00</c:formatCode>
                <c:ptCount val="8"/>
                <c:pt idx="0">
                  <c:v>6.31</c:v>
                </c:pt>
                <c:pt idx="1">
                  <c:v>6.54</c:v>
                </c:pt>
                <c:pt idx="2">
                  <c:v>3.82</c:v>
                </c:pt>
                <c:pt idx="3">
                  <c:v>4.2300000000000004</c:v>
                </c:pt>
                <c:pt idx="4">
                  <c:v>5.04</c:v>
                </c:pt>
                <c:pt idx="5">
                  <c:v>5.96</c:v>
                </c:pt>
                <c:pt idx="6">
                  <c:v>6.28</c:v>
                </c:pt>
                <c:pt idx="7">
                  <c:v>6.4</c:v>
                </c:pt>
              </c:numCache>
            </c:numRef>
          </c:xVal>
          <c:yVal>
            <c:numRef>
              <c:f>'8-26-2010'!$B$11:$B$18</c:f>
              <c:numCache>
                <c:formatCode>General</c:formatCode>
                <c:ptCount val="8"/>
                <c:pt idx="0">
                  <c:v>3</c:v>
                </c:pt>
                <c:pt idx="1">
                  <c:v>50</c:v>
                </c:pt>
                <c:pt idx="2">
                  <c:v>400</c:v>
                </c:pt>
                <c:pt idx="3">
                  <c:v>600</c:v>
                </c:pt>
                <c:pt idx="4">
                  <c:v>800</c:v>
                </c:pt>
                <c:pt idx="5">
                  <c:v>1050</c:v>
                </c:pt>
                <c:pt idx="6">
                  <c:v>1150</c:v>
                </c:pt>
                <c:pt idx="7">
                  <c:v>1260</c:v>
                </c:pt>
              </c:numCache>
            </c:numRef>
          </c:yVal>
        </c:ser>
        <c:ser>
          <c:idx val="5"/>
          <c:order val="1"/>
          <c:tx>
            <c:v>Field Probe</c:v>
          </c:tx>
          <c:spPr>
            <a:ln w="28575">
              <a:noFill/>
            </a:ln>
          </c:spPr>
          <c:marker>
            <c:symbol val="circle"/>
            <c:size val="7"/>
            <c:spPr>
              <a:solidFill>
                <a:srgbClr val="FFFF00"/>
              </a:solidFill>
            </c:spPr>
          </c:marker>
          <c:xVal>
            <c:numRef>
              <c:f>'8-26-2010'!$D$11:$D$18</c:f>
              <c:numCache>
                <c:formatCode>0.00</c:formatCode>
                <c:ptCount val="8"/>
                <c:pt idx="0">
                  <c:v>7.22</c:v>
                </c:pt>
                <c:pt idx="1">
                  <c:v>7.55</c:v>
                </c:pt>
                <c:pt idx="2">
                  <c:v>4.4800000000000004</c:v>
                </c:pt>
                <c:pt idx="3">
                  <c:v>4.9400000000000004</c:v>
                </c:pt>
                <c:pt idx="4">
                  <c:v>5.75</c:v>
                </c:pt>
                <c:pt idx="5">
                  <c:v>6.81</c:v>
                </c:pt>
                <c:pt idx="6">
                  <c:v>7.24</c:v>
                </c:pt>
                <c:pt idx="7" formatCode="General">
                  <c:v>6.99</c:v>
                </c:pt>
              </c:numCache>
            </c:numRef>
          </c:xVal>
          <c:yVal>
            <c:numRef>
              <c:f>'8-26-2010'!$B$11:$B$18</c:f>
              <c:numCache>
                <c:formatCode>General</c:formatCode>
                <c:ptCount val="8"/>
                <c:pt idx="0">
                  <c:v>3</c:v>
                </c:pt>
                <c:pt idx="1">
                  <c:v>50</c:v>
                </c:pt>
                <c:pt idx="2">
                  <c:v>400</c:v>
                </c:pt>
                <c:pt idx="3">
                  <c:v>600</c:v>
                </c:pt>
                <c:pt idx="4">
                  <c:v>800</c:v>
                </c:pt>
                <c:pt idx="5">
                  <c:v>1050</c:v>
                </c:pt>
                <c:pt idx="6">
                  <c:v>1150</c:v>
                </c:pt>
                <c:pt idx="7">
                  <c:v>1260</c:v>
                </c:pt>
              </c:numCache>
            </c:numRef>
          </c:yVal>
        </c:ser>
        <c:axId val="86977152"/>
        <c:axId val="93079808"/>
      </c:scatterChart>
      <c:valAx>
        <c:axId val="86977152"/>
        <c:scaling>
          <c:orientation val="minMax"/>
          <c:max val="10"/>
        </c:scaling>
        <c:axPos val="t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Dissolved</a:t>
                </a:r>
                <a:r>
                  <a:rPr lang="en-US" baseline="0"/>
                  <a:t> Oxygen (mg/L)</a:t>
                </a:r>
              </a:p>
            </c:rich>
          </c:tx>
          <c:layout/>
        </c:title>
        <c:numFmt formatCode="0.00" sourceLinked="1"/>
        <c:majorTickMark val="none"/>
        <c:tickLblPos val="nextTo"/>
        <c:crossAx val="93079808"/>
        <c:crosses val="autoZero"/>
        <c:crossBetween val="midCat"/>
      </c:valAx>
      <c:valAx>
        <c:axId val="93079808"/>
        <c:scaling>
          <c:orientation val="maxMin"/>
          <c:max val="1800"/>
        </c:scaling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Depth (m)</a:t>
                </a:r>
              </a:p>
            </c:rich>
          </c:tx>
          <c:layout/>
        </c:title>
        <c:numFmt formatCode="General" sourceLinked="1"/>
        <c:majorTickMark val="none"/>
        <c:tickLblPos val="nextTo"/>
        <c:crossAx val="86977152"/>
        <c:crosses val="autoZero"/>
        <c:crossBetween val="midCat"/>
      </c:valAx>
    </c:plotArea>
    <c:legend>
      <c:legendPos val="r"/>
      <c:layout/>
    </c:legend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title>
      <c:tx>
        <c:rich>
          <a:bodyPr/>
          <a:lstStyle/>
          <a:p>
            <a:pPr>
              <a:defRPr sz="1600"/>
            </a:pPr>
            <a:r>
              <a:rPr lang="en-US" sz="1600"/>
              <a:t>OV207</a:t>
            </a:r>
          </a:p>
        </c:rich>
      </c:tx>
      <c:layout/>
    </c:title>
    <c:plotArea>
      <c:layout/>
      <c:scatterChart>
        <c:scatterStyle val="lineMarker"/>
        <c:ser>
          <c:idx val="4"/>
          <c:order val="0"/>
          <c:tx>
            <c:v>CTD</c:v>
          </c:tx>
          <c:spPr>
            <a:ln w="28575">
              <a:noFill/>
            </a:ln>
          </c:spPr>
          <c:marker>
            <c:symbol val="triangle"/>
            <c:size val="7"/>
            <c:spPr>
              <a:solidFill>
                <a:srgbClr val="92D050"/>
              </a:solidFill>
            </c:spPr>
          </c:marker>
          <c:xVal>
            <c:numRef>
              <c:f>'8-26-2010'!$C$19:$C$26</c:f>
              <c:numCache>
                <c:formatCode>0.00</c:formatCode>
                <c:ptCount val="8"/>
                <c:pt idx="0">
                  <c:v>6.34</c:v>
                </c:pt>
                <c:pt idx="1">
                  <c:v>7.23</c:v>
                </c:pt>
                <c:pt idx="2">
                  <c:v>3.72</c:v>
                </c:pt>
                <c:pt idx="3">
                  <c:v>4.0999999999999996</c:v>
                </c:pt>
                <c:pt idx="4">
                  <c:v>5.63</c:v>
                </c:pt>
                <c:pt idx="5">
                  <c:v>5.83</c:v>
                </c:pt>
                <c:pt idx="6">
                  <c:v>6.38</c:v>
                </c:pt>
                <c:pt idx="7">
                  <c:v>6.63</c:v>
                </c:pt>
              </c:numCache>
            </c:numRef>
          </c:xVal>
          <c:yVal>
            <c:numRef>
              <c:f>'8-26-2010'!$B$19:$B$26</c:f>
              <c:numCache>
                <c:formatCode>General</c:formatCode>
                <c:ptCount val="8"/>
                <c:pt idx="0">
                  <c:v>3</c:v>
                </c:pt>
                <c:pt idx="1">
                  <c:v>50</c:v>
                </c:pt>
                <c:pt idx="2">
                  <c:v>377</c:v>
                </c:pt>
                <c:pt idx="3">
                  <c:v>562</c:v>
                </c:pt>
                <c:pt idx="4">
                  <c:v>1020</c:v>
                </c:pt>
                <c:pt idx="5">
                  <c:v>1062</c:v>
                </c:pt>
                <c:pt idx="6">
                  <c:v>1150</c:v>
                </c:pt>
                <c:pt idx="7">
                  <c:v>1325</c:v>
                </c:pt>
              </c:numCache>
            </c:numRef>
          </c:yVal>
        </c:ser>
        <c:ser>
          <c:idx val="5"/>
          <c:order val="1"/>
          <c:tx>
            <c:v>Field Probe</c:v>
          </c:tx>
          <c:spPr>
            <a:ln w="28575">
              <a:noFill/>
            </a:ln>
          </c:spPr>
          <c:marker>
            <c:symbol val="circle"/>
            <c:size val="7"/>
            <c:spPr>
              <a:solidFill>
                <a:srgbClr val="FFFF00"/>
              </a:solidFill>
            </c:spPr>
          </c:marker>
          <c:xVal>
            <c:numRef>
              <c:f>'8-26-2010'!$D$19:$D$26</c:f>
              <c:numCache>
                <c:formatCode>0.00</c:formatCode>
                <c:ptCount val="8"/>
                <c:pt idx="0">
                  <c:v>7.23</c:v>
                </c:pt>
                <c:pt idx="1">
                  <c:v>8.2200000000000006</c:v>
                </c:pt>
                <c:pt idx="2">
                  <c:v>4.37</c:v>
                </c:pt>
                <c:pt idx="3">
                  <c:v>4.76</c:v>
                </c:pt>
                <c:pt idx="4">
                  <c:v>6.52</c:v>
                </c:pt>
                <c:pt idx="5">
                  <c:v>6.73</c:v>
                </c:pt>
                <c:pt idx="6">
                  <c:v>7.08</c:v>
                </c:pt>
                <c:pt idx="7">
                  <c:v>7.17</c:v>
                </c:pt>
              </c:numCache>
            </c:numRef>
          </c:xVal>
          <c:yVal>
            <c:numRef>
              <c:f>'8-26-2010'!$B$19:$B$26</c:f>
              <c:numCache>
                <c:formatCode>General</c:formatCode>
                <c:ptCount val="8"/>
                <c:pt idx="0">
                  <c:v>3</c:v>
                </c:pt>
                <c:pt idx="1">
                  <c:v>50</c:v>
                </c:pt>
                <c:pt idx="2">
                  <c:v>377</c:v>
                </c:pt>
                <c:pt idx="3">
                  <c:v>562</c:v>
                </c:pt>
                <c:pt idx="4">
                  <c:v>1020</c:v>
                </c:pt>
                <c:pt idx="5">
                  <c:v>1062</c:v>
                </c:pt>
                <c:pt idx="6">
                  <c:v>1150</c:v>
                </c:pt>
                <c:pt idx="7">
                  <c:v>1325</c:v>
                </c:pt>
              </c:numCache>
            </c:numRef>
          </c:yVal>
        </c:ser>
        <c:axId val="86366464"/>
        <c:axId val="86431616"/>
      </c:scatterChart>
      <c:valAx>
        <c:axId val="86366464"/>
        <c:scaling>
          <c:orientation val="minMax"/>
          <c:max val="10"/>
        </c:scaling>
        <c:axPos val="t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Dissolved</a:t>
                </a:r>
                <a:r>
                  <a:rPr lang="en-US" baseline="0"/>
                  <a:t> Oxygen (mg/L)</a:t>
                </a:r>
              </a:p>
            </c:rich>
          </c:tx>
          <c:layout/>
        </c:title>
        <c:numFmt formatCode="0.00" sourceLinked="1"/>
        <c:majorTickMark val="none"/>
        <c:tickLblPos val="nextTo"/>
        <c:crossAx val="86431616"/>
        <c:crosses val="autoZero"/>
        <c:crossBetween val="midCat"/>
      </c:valAx>
      <c:valAx>
        <c:axId val="86431616"/>
        <c:scaling>
          <c:orientation val="maxMin"/>
          <c:max val="1800"/>
        </c:scaling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Depth (m)</a:t>
                </a:r>
              </a:p>
            </c:rich>
          </c:tx>
          <c:layout/>
        </c:title>
        <c:numFmt formatCode="General" sourceLinked="1"/>
        <c:majorTickMark val="none"/>
        <c:tickLblPos val="nextTo"/>
        <c:crossAx val="86366464"/>
        <c:crosses val="autoZero"/>
        <c:crossBetween val="midCat"/>
        <c:majorUnit val="200"/>
      </c:valAx>
    </c:plotArea>
    <c:legend>
      <c:legendPos val="r"/>
      <c:layout/>
    </c:legend>
    <c:plotVisOnly val="1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title>
      <c:tx>
        <c:rich>
          <a:bodyPr/>
          <a:lstStyle/>
          <a:p>
            <a:pPr>
              <a:defRPr sz="1400"/>
            </a:pPr>
            <a:r>
              <a:rPr lang="en-US" sz="1400" b="1" i="0" baseline="0"/>
              <a:t>Correlation of DO Instruments (08-26-2010)</a:t>
            </a:r>
          </a:p>
        </c:rich>
      </c:tx>
      <c:layout>
        <c:manualLayout>
          <c:xMode val="edge"/>
          <c:yMode val="edge"/>
          <c:x val="0.20929726954451097"/>
          <c:y val="1.4184397163120567E-2"/>
        </c:manualLayout>
      </c:layout>
    </c:title>
    <c:plotArea>
      <c:layout>
        <c:manualLayout>
          <c:layoutTarget val="inner"/>
          <c:xMode val="edge"/>
          <c:yMode val="edge"/>
          <c:x val="0.15292801132905526"/>
          <c:y val="0.17108438622487179"/>
          <c:w val="0.52245852211872368"/>
          <c:h val="0.58196218681735712"/>
        </c:manualLayout>
      </c:layout>
      <c:scatterChart>
        <c:scatterStyle val="lineMarker"/>
        <c:ser>
          <c:idx val="0"/>
          <c:order val="0"/>
          <c:tx>
            <c:v>OV205</c:v>
          </c:tx>
          <c:spPr>
            <a:ln w="28575">
              <a:noFill/>
            </a:ln>
          </c:spPr>
          <c:trendline>
            <c:trendlineType val="linear"/>
            <c:dispRSqr val="1"/>
            <c:trendlineLbl>
              <c:layout>
                <c:manualLayout>
                  <c:x val="0.40209619666007179"/>
                  <c:y val="-1.6508348690456247E-2"/>
                </c:manualLayout>
              </c:layout>
              <c:tx>
                <c:rich>
                  <a:bodyPr/>
                  <a:lstStyle/>
                  <a:p>
                    <a:pPr>
                      <a:defRPr>
                        <a:solidFill>
                          <a:srgbClr val="0070C0"/>
                        </a:solidFill>
                      </a:defRPr>
                    </a:pPr>
                    <a:r>
                      <a:rPr lang="en-US"/>
                      <a:t>R² = 0.8920</a:t>
                    </a:r>
                  </a:p>
                </c:rich>
              </c:tx>
              <c:numFmt formatCode="General" sourceLinked="0"/>
            </c:trendlineLbl>
          </c:trendline>
          <c:xVal>
            <c:numRef>
              <c:f>'Corr. 8-26-2010'!$C$3:$C$10</c:f>
              <c:numCache>
                <c:formatCode>0.00</c:formatCode>
                <c:ptCount val="8"/>
                <c:pt idx="0">
                  <c:v>6.3</c:v>
                </c:pt>
                <c:pt idx="1">
                  <c:v>7</c:v>
                </c:pt>
                <c:pt idx="2">
                  <c:v>3.85</c:v>
                </c:pt>
                <c:pt idx="3">
                  <c:v>4.1399999999999997</c:v>
                </c:pt>
                <c:pt idx="4">
                  <c:v>4.53</c:v>
                </c:pt>
                <c:pt idx="5">
                  <c:v>4.9400000000000004</c:v>
                </c:pt>
                <c:pt idx="6">
                  <c:v>5.44</c:v>
                </c:pt>
                <c:pt idx="7">
                  <c:v>5.57</c:v>
                </c:pt>
              </c:numCache>
            </c:numRef>
          </c:xVal>
          <c:yVal>
            <c:numRef>
              <c:f>'Corr. 8-26-2010'!$D$3:$D$10</c:f>
              <c:numCache>
                <c:formatCode>0.00</c:formatCode>
                <c:ptCount val="8"/>
                <c:pt idx="0">
                  <c:v>7.2</c:v>
                </c:pt>
                <c:pt idx="1">
                  <c:v>8.01</c:v>
                </c:pt>
                <c:pt idx="2">
                  <c:v>4.53</c:v>
                </c:pt>
                <c:pt idx="3">
                  <c:v>5.85</c:v>
                </c:pt>
                <c:pt idx="4">
                  <c:v>5.36</c:v>
                </c:pt>
                <c:pt idx="5">
                  <c:v>5.65</c:v>
                </c:pt>
                <c:pt idx="6">
                  <c:v>6.08</c:v>
                </c:pt>
                <c:pt idx="7">
                  <c:v>6.19</c:v>
                </c:pt>
              </c:numCache>
            </c:numRef>
          </c:yVal>
        </c:ser>
        <c:ser>
          <c:idx val="1"/>
          <c:order val="1"/>
          <c:tx>
            <c:v>OV206</c:v>
          </c:tx>
          <c:spPr>
            <a:ln w="28575">
              <a:noFill/>
            </a:ln>
          </c:spPr>
          <c:trendline>
            <c:trendlineType val="linear"/>
            <c:dispRSqr val="1"/>
            <c:trendlineLbl>
              <c:layout>
                <c:manualLayout>
                  <c:x val="0.4321374920883625"/>
                  <c:y val="9.4117663483553923E-2"/>
                </c:manualLayout>
              </c:layout>
              <c:numFmt formatCode="General" sourceLinked="0"/>
              <c:txPr>
                <a:bodyPr/>
                <a:lstStyle/>
                <a:p>
                  <a:pPr>
                    <a:defRPr>
                      <a:solidFill>
                        <a:srgbClr val="C00000"/>
                      </a:solidFill>
                    </a:defRPr>
                  </a:pPr>
                  <a:endParaRPr lang="en-US"/>
                </a:p>
              </c:txPr>
            </c:trendlineLbl>
          </c:trendline>
          <c:xVal>
            <c:numRef>
              <c:f>'Corr. 8-26-2010'!$C$11:$C$18</c:f>
              <c:numCache>
                <c:formatCode>0.00</c:formatCode>
                <c:ptCount val="8"/>
                <c:pt idx="0">
                  <c:v>6.31</c:v>
                </c:pt>
                <c:pt idx="1">
                  <c:v>6.54</c:v>
                </c:pt>
                <c:pt idx="2">
                  <c:v>3.82</c:v>
                </c:pt>
                <c:pt idx="3">
                  <c:v>4.2300000000000004</c:v>
                </c:pt>
                <c:pt idx="4">
                  <c:v>5.04</c:v>
                </c:pt>
                <c:pt idx="5">
                  <c:v>5.96</c:v>
                </c:pt>
                <c:pt idx="6">
                  <c:v>6.28</c:v>
                </c:pt>
                <c:pt idx="7">
                  <c:v>6.4</c:v>
                </c:pt>
              </c:numCache>
            </c:numRef>
          </c:xVal>
          <c:yVal>
            <c:numRef>
              <c:f>'Corr. 8-26-2010'!$D$11:$D$18</c:f>
              <c:numCache>
                <c:formatCode>0.00</c:formatCode>
                <c:ptCount val="8"/>
                <c:pt idx="0">
                  <c:v>7.22</c:v>
                </c:pt>
                <c:pt idx="1">
                  <c:v>7.55</c:v>
                </c:pt>
                <c:pt idx="2">
                  <c:v>4.4800000000000004</c:v>
                </c:pt>
                <c:pt idx="3">
                  <c:v>4.9400000000000004</c:v>
                </c:pt>
                <c:pt idx="4">
                  <c:v>5.75</c:v>
                </c:pt>
                <c:pt idx="5">
                  <c:v>6.81</c:v>
                </c:pt>
                <c:pt idx="6">
                  <c:v>7.24</c:v>
                </c:pt>
                <c:pt idx="7" formatCode="General">
                  <c:v>6.99</c:v>
                </c:pt>
              </c:numCache>
            </c:numRef>
          </c:yVal>
        </c:ser>
        <c:ser>
          <c:idx val="2"/>
          <c:order val="2"/>
          <c:tx>
            <c:v>OV207</c:v>
          </c:tx>
          <c:spPr>
            <a:ln w="28575">
              <a:noFill/>
            </a:ln>
          </c:spPr>
          <c:trendline>
            <c:trendlineType val="linear"/>
            <c:dispRSqr val="1"/>
            <c:trendlineLbl>
              <c:layout>
                <c:manualLayout>
                  <c:x val="0.38707546042410801"/>
                  <c:y val="0.27566063550566816"/>
                </c:manualLayout>
              </c:layout>
              <c:numFmt formatCode="General" sourceLinked="0"/>
              <c:txPr>
                <a:bodyPr/>
                <a:lstStyle/>
                <a:p>
                  <a:pPr>
                    <a:defRPr>
                      <a:solidFill>
                        <a:srgbClr val="92D050"/>
                      </a:solidFill>
                    </a:defRPr>
                  </a:pPr>
                  <a:endParaRPr lang="en-US"/>
                </a:p>
              </c:txPr>
            </c:trendlineLbl>
          </c:trendline>
          <c:xVal>
            <c:numRef>
              <c:f>'Corr. 8-26-2010'!$C$19:$C$26</c:f>
              <c:numCache>
                <c:formatCode>0.00</c:formatCode>
                <c:ptCount val="8"/>
                <c:pt idx="0">
                  <c:v>6.34</c:v>
                </c:pt>
                <c:pt idx="1">
                  <c:v>7.23</c:v>
                </c:pt>
                <c:pt idx="2">
                  <c:v>3.72</c:v>
                </c:pt>
                <c:pt idx="3">
                  <c:v>4.0999999999999996</c:v>
                </c:pt>
                <c:pt idx="4">
                  <c:v>5.63</c:v>
                </c:pt>
                <c:pt idx="5">
                  <c:v>5.83</c:v>
                </c:pt>
                <c:pt idx="6">
                  <c:v>6.38</c:v>
                </c:pt>
                <c:pt idx="7">
                  <c:v>6.63</c:v>
                </c:pt>
              </c:numCache>
            </c:numRef>
          </c:xVal>
          <c:yVal>
            <c:numRef>
              <c:f>'Corr. 8-26-2010'!$D$19:$D$26</c:f>
              <c:numCache>
                <c:formatCode>0.00</c:formatCode>
                <c:ptCount val="8"/>
                <c:pt idx="0">
                  <c:v>7.23</c:v>
                </c:pt>
                <c:pt idx="1">
                  <c:v>8.2200000000000006</c:v>
                </c:pt>
                <c:pt idx="2">
                  <c:v>4.37</c:v>
                </c:pt>
                <c:pt idx="3">
                  <c:v>4.76</c:v>
                </c:pt>
                <c:pt idx="4">
                  <c:v>6.52</c:v>
                </c:pt>
                <c:pt idx="5">
                  <c:v>6.73</c:v>
                </c:pt>
                <c:pt idx="6">
                  <c:v>7.08</c:v>
                </c:pt>
                <c:pt idx="7">
                  <c:v>7.17</c:v>
                </c:pt>
              </c:numCache>
            </c:numRef>
          </c:yVal>
        </c:ser>
        <c:axId val="105667200"/>
        <c:axId val="105693952"/>
      </c:scatterChart>
      <c:valAx>
        <c:axId val="105667200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CTD (mg/L)</a:t>
                </a:r>
              </a:p>
            </c:rich>
          </c:tx>
          <c:layout/>
        </c:title>
        <c:numFmt formatCode="0.00" sourceLinked="1"/>
        <c:majorTickMark val="none"/>
        <c:tickLblPos val="nextTo"/>
        <c:crossAx val="105693952"/>
        <c:crosses val="autoZero"/>
        <c:crossBetween val="midCat"/>
      </c:valAx>
      <c:valAx>
        <c:axId val="105693952"/>
        <c:scaling>
          <c:orientation val="minMax"/>
        </c:scaling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ProODO</a:t>
                </a:r>
                <a:r>
                  <a:rPr lang="en-US" baseline="0"/>
                  <a:t> F</a:t>
                </a:r>
                <a:r>
                  <a:rPr lang="en-US"/>
                  <a:t>ield</a:t>
                </a:r>
                <a:r>
                  <a:rPr lang="en-US" baseline="0"/>
                  <a:t> Probe (mg/L)</a:t>
                </a:r>
                <a:endParaRPr lang="en-US"/>
              </a:p>
            </c:rich>
          </c:tx>
          <c:layout/>
        </c:title>
        <c:numFmt formatCode="0.00" sourceLinked="1"/>
        <c:majorTickMark val="none"/>
        <c:tickLblPos val="nextTo"/>
        <c:crossAx val="105667200"/>
        <c:crosses val="autoZero"/>
        <c:crossBetween val="midCat"/>
      </c:valAx>
    </c:plotArea>
    <c:legend>
      <c:legendPos val="r"/>
      <c:layout>
        <c:manualLayout>
          <c:xMode val="edge"/>
          <c:yMode val="edge"/>
          <c:x val="0.70208460030185937"/>
          <c:y val="0.16446277991846764"/>
          <c:w val="0.23788809077825104"/>
          <c:h val="0.80733734026161275"/>
        </c:manualLayout>
      </c:layout>
    </c:legend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3</cp:revision>
  <dcterms:created xsi:type="dcterms:W3CDTF">2010-08-26T23:36:00Z</dcterms:created>
  <dcterms:modified xsi:type="dcterms:W3CDTF">2010-08-26T23:38:00Z</dcterms:modified>
</cp:coreProperties>
</file>