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16" w:rsidRDefault="00E60816" w:rsidP="00E60816">
      <w:pPr>
        <w:pStyle w:val="Heading1"/>
      </w:pPr>
      <w:bookmarkStart w:id="0" w:name="_GoBack"/>
      <w:bookmarkEnd w:id="0"/>
      <w:r>
        <w:t xml:space="preserve">Assessment of </w:t>
      </w:r>
      <w:r w:rsidR="006816BE">
        <w:t xml:space="preserve">XXX </w:t>
      </w:r>
      <w:r w:rsidR="00A10462">
        <w:t xml:space="preserve">CDR </w:t>
      </w:r>
      <w:r w:rsidR="006816BE">
        <w:t xml:space="preserve">Transition </w:t>
      </w:r>
      <w:r>
        <w:t>Readiness</w:t>
      </w:r>
    </w:p>
    <w:p w:rsidR="00A10462" w:rsidRPr="005144CD" w:rsidRDefault="00D408A3" w:rsidP="009E25FB">
      <w:pPr>
        <w:rPr>
          <w:color w:val="FF0000"/>
        </w:rPr>
      </w:pPr>
      <w:proofErr w:type="gramStart"/>
      <w:r>
        <w:t>by</w:t>
      </w:r>
      <w:proofErr w:type="gramEnd"/>
      <w:r>
        <w:t xml:space="preserve"> </w:t>
      </w:r>
      <w:r w:rsidR="002C2941">
        <w:t>Subject Matter Expert (S</w:t>
      </w:r>
      <w:r>
        <w:t>M</w:t>
      </w:r>
      <w:r w:rsidR="002C2941">
        <w:t>E</w:t>
      </w:r>
      <w:r>
        <w:t>)</w:t>
      </w:r>
      <w:r w:rsidR="005144CD">
        <w:t>:</w:t>
      </w:r>
      <w:r>
        <w:t xml:space="preserve"> </w:t>
      </w:r>
      <w:r w:rsidR="002C2941">
        <w:rPr>
          <w:i/>
        </w:rPr>
        <w:t>SME</w:t>
      </w:r>
      <w:r w:rsidR="005144CD" w:rsidRPr="00E80454">
        <w:rPr>
          <w:i/>
        </w:rPr>
        <w:t>s Name</w:t>
      </w:r>
    </w:p>
    <w:p w:rsidR="00E60816" w:rsidRDefault="00D333CB" w:rsidP="00E60816">
      <w:pPr>
        <w:pStyle w:val="Heading2"/>
      </w:pPr>
      <w:r>
        <w:t xml:space="preserve">1. </w:t>
      </w:r>
      <w:r w:rsidR="00E60816">
        <w:t>Purpose</w:t>
      </w:r>
    </w:p>
    <w:p w:rsidR="00E60816" w:rsidRPr="00C94284" w:rsidRDefault="00E60816" w:rsidP="00E60816">
      <w:r w:rsidRPr="00C94284">
        <w:t>T</w:t>
      </w:r>
      <w:r w:rsidR="00DE7568" w:rsidRPr="00C94284">
        <w:t xml:space="preserve">his assessment is meant to determine the </w:t>
      </w:r>
      <w:r w:rsidR="00C94284">
        <w:t xml:space="preserve">feasibility of transitioning a CDR to Initial Operational Capability (IOC) within the desired time frame, and to gauge the </w:t>
      </w:r>
      <w:r w:rsidR="00DE7568" w:rsidRPr="00C94284">
        <w:t xml:space="preserve">level of effort that NCDC and the PI will need to put forth in order to meet all the </w:t>
      </w:r>
      <w:r w:rsidRPr="00C94284">
        <w:t>requirement</w:t>
      </w:r>
      <w:r w:rsidR="00DE7568" w:rsidRPr="00C94284">
        <w:t>s of the Research to O</w:t>
      </w:r>
      <w:r w:rsidR="00901FAB" w:rsidRPr="00C94284">
        <w:t>perations (R2O) process.</w:t>
      </w:r>
      <w:r w:rsidR="00276BC2">
        <w:t xml:space="preserve">  A briefing from the SME to all stakeholders shall accompany this report to promote open discussion and help determine the selection or non-selection for IOC transition.</w:t>
      </w:r>
    </w:p>
    <w:p w:rsidR="00DE7568" w:rsidRPr="00E60816" w:rsidRDefault="00DE7568" w:rsidP="00E60816">
      <w:pPr>
        <w:rPr>
          <w:i/>
        </w:rPr>
      </w:pPr>
    </w:p>
    <w:p w:rsidR="00E60816" w:rsidRDefault="00DE7568">
      <w:r>
        <w:t>F</w:t>
      </w:r>
      <w:r w:rsidR="00901FAB">
        <w:t xml:space="preserve">rom the </w:t>
      </w:r>
      <w:r w:rsidR="00901FAB" w:rsidRPr="00C94284">
        <w:rPr>
          <w:i/>
        </w:rPr>
        <w:t>R2O G</w:t>
      </w:r>
      <w:r w:rsidR="00E60816" w:rsidRPr="00C94284">
        <w:rPr>
          <w:i/>
        </w:rPr>
        <w:t>uidelines</w:t>
      </w:r>
      <w:r w:rsidR="00E60816">
        <w:t>:</w:t>
      </w:r>
    </w:p>
    <w:p w:rsidR="00E60816" w:rsidRPr="00E60816" w:rsidRDefault="00E60816" w:rsidP="00E60816">
      <w:pPr>
        <w:ind w:left="720"/>
        <w:rPr>
          <w:i/>
        </w:rPr>
      </w:pPr>
      <w:r w:rsidRPr="00E60816">
        <w:rPr>
          <w:i/>
        </w:rPr>
        <w:t>“</w:t>
      </w:r>
      <w:r w:rsidR="00DE7568" w:rsidRPr="00DE7568">
        <w:rPr>
          <w:i/>
        </w:rPr>
        <w:t xml:space="preserve">Prior to committing significant NCDC resources to a specific CDR, a comprehensive assessment will be conducted by the </w:t>
      </w:r>
      <w:r w:rsidR="00943D34">
        <w:rPr>
          <w:i/>
        </w:rPr>
        <w:t>SME</w:t>
      </w:r>
      <w:r w:rsidR="00DE7568" w:rsidRPr="00DE7568">
        <w:rPr>
          <w:i/>
        </w:rPr>
        <w:t xml:space="preserve"> to determine whether the CDR is mature enough for transition.  This assessment will help determine the level of effort needed to meet all the IOC requirements listed in Appendix F.   The </w:t>
      </w:r>
      <w:r w:rsidR="00943D34">
        <w:rPr>
          <w:i/>
        </w:rPr>
        <w:t>SME</w:t>
      </w:r>
      <w:r w:rsidR="00DE7568" w:rsidRPr="00DE7568">
        <w:rPr>
          <w:i/>
        </w:rPr>
        <w:t xml:space="preserve"> will draft the formal recommendation to the CDR Program Manager whether the CDR is ready for IOC transition.</w:t>
      </w:r>
      <w:r w:rsidRPr="00E60816">
        <w:rPr>
          <w:i/>
        </w:rPr>
        <w:t>”</w:t>
      </w:r>
    </w:p>
    <w:p w:rsidR="00E60816" w:rsidRDefault="00D333CB" w:rsidP="00E60816">
      <w:pPr>
        <w:pStyle w:val="Heading2"/>
      </w:pPr>
      <w:r>
        <w:t xml:space="preserve">2. </w:t>
      </w:r>
      <w:r w:rsidR="00E60816">
        <w:t>IOC Requirements</w:t>
      </w:r>
    </w:p>
    <w:p w:rsidR="00E60816" w:rsidRDefault="00E60816" w:rsidP="00E60816">
      <w:r>
        <w:t xml:space="preserve">The following are the IOC requirements laid out by the CDR </w:t>
      </w:r>
      <w:r w:rsidR="00C94284">
        <w:t>Program Office</w:t>
      </w:r>
      <w:r>
        <w:t>:</w:t>
      </w:r>
    </w:p>
    <w:p w:rsidR="006A7E23" w:rsidRDefault="006A7E23" w:rsidP="006A7E23">
      <w:pPr>
        <w:numPr>
          <w:ilvl w:val="0"/>
          <w:numId w:val="4"/>
        </w:numPr>
      </w:pPr>
      <w:r>
        <w:t>Code</w:t>
      </w:r>
    </w:p>
    <w:p w:rsidR="006A7E23" w:rsidRPr="00A475BE" w:rsidRDefault="00E7590F" w:rsidP="006A7E23">
      <w:pPr>
        <w:numPr>
          <w:ilvl w:val="1"/>
          <w:numId w:val="4"/>
        </w:numPr>
      </w:pPr>
      <w:r w:rsidRPr="00A475BE">
        <w:t>D</w:t>
      </w:r>
      <w:r w:rsidR="0092173D">
        <w:t>ocument</w:t>
      </w:r>
      <w:r w:rsidRPr="00A475BE">
        <w:t xml:space="preserve"> the </w:t>
      </w:r>
      <w:r w:rsidR="00901FAB" w:rsidRPr="00A475BE">
        <w:t xml:space="preserve">source </w:t>
      </w:r>
      <w:r w:rsidR="006A7E23" w:rsidRPr="00A475BE">
        <w:t xml:space="preserve">code </w:t>
      </w:r>
      <w:r w:rsidRPr="00A475BE">
        <w:t>(</w:t>
      </w:r>
      <w:r w:rsidR="00901FAB" w:rsidRPr="00A475BE">
        <w:t xml:space="preserve">see </w:t>
      </w:r>
      <w:r w:rsidR="00901FAB" w:rsidRPr="00A475BE">
        <w:rPr>
          <w:i/>
        </w:rPr>
        <w:t xml:space="preserve">General </w:t>
      </w:r>
      <w:r w:rsidR="00943D34">
        <w:rPr>
          <w:i/>
        </w:rPr>
        <w:t>Software Coding Standards</w:t>
      </w:r>
      <w:r w:rsidRPr="00A475BE">
        <w:t>)</w:t>
      </w:r>
      <w:r w:rsidR="00EF26E0" w:rsidRPr="00A475BE">
        <w:t xml:space="preserve"> </w:t>
      </w:r>
    </w:p>
    <w:p w:rsidR="00B769DE" w:rsidRPr="00A475BE" w:rsidRDefault="006A7E23" w:rsidP="006A7E23">
      <w:pPr>
        <w:numPr>
          <w:ilvl w:val="1"/>
          <w:numId w:val="4"/>
        </w:numPr>
      </w:pPr>
      <w:r w:rsidRPr="00A475BE">
        <w:t xml:space="preserve">Create README – Step by step instructions </w:t>
      </w:r>
      <w:r w:rsidR="00901FAB" w:rsidRPr="00A475BE">
        <w:t xml:space="preserve">on how </w:t>
      </w:r>
      <w:r w:rsidRPr="00A475BE">
        <w:t>to run</w:t>
      </w:r>
      <w:r w:rsidR="00901FAB" w:rsidRPr="00A475BE">
        <w:t xml:space="preserve"> the code</w:t>
      </w:r>
    </w:p>
    <w:p w:rsidR="00E7590F" w:rsidRPr="00B769DE" w:rsidRDefault="00E7590F" w:rsidP="00E7590F">
      <w:pPr>
        <w:numPr>
          <w:ilvl w:val="1"/>
          <w:numId w:val="4"/>
        </w:numPr>
      </w:pPr>
      <w:r w:rsidRPr="00B769DE">
        <w:t>Enter code in</w:t>
      </w:r>
      <w:r w:rsidR="00901FAB" w:rsidRPr="00B769DE">
        <w:t>to</w:t>
      </w:r>
      <w:r w:rsidRPr="00B769DE">
        <w:t xml:space="preserve"> subversion</w:t>
      </w:r>
      <w:r w:rsidR="00EF26E0" w:rsidRPr="00B769DE">
        <w:t xml:space="preserve"> </w:t>
      </w:r>
    </w:p>
    <w:p w:rsidR="00901FAB" w:rsidRPr="00016B0A" w:rsidRDefault="00901FAB" w:rsidP="00E7590F">
      <w:pPr>
        <w:numPr>
          <w:ilvl w:val="1"/>
          <w:numId w:val="4"/>
        </w:numPr>
      </w:pPr>
      <w:r w:rsidRPr="00016B0A">
        <w:t>Create Security Review report</w:t>
      </w:r>
      <w:r w:rsidR="00EF26E0" w:rsidRPr="00016B0A">
        <w:t xml:space="preserve"> </w:t>
      </w:r>
    </w:p>
    <w:p w:rsidR="006A7E23" w:rsidRDefault="006A7E23" w:rsidP="006A7E23">
      <w:pPr>
        <w:numPr>
          <w:ilvl w:val="1"/>
          <w:numId w:val="4"/>
        </w:numPr>
      </w:pPr>
      <w:r>
        <w:t xml:space="preserve">Archive source code </w:t>
      </w:r>
      <w:r w:rsidR="00901FAB">
        <w:t xml:space="preserve">package </w:t>
      </w:r>
    </w:p>
    <w:p w:rsidR="006A7E23" w:rsidRDefault="006A7E23" w:rsidP="006A7E23">
      <w:pPr>
        <w:numPr>
          <w:ilvl w:val="1"/>
          <w:numId w:val="4"/>
        </w:numPr>
      </w:pPr>
      <w:r>
        <w:t xml:space="preserve">Make source code and README package </w:t>
      </w:r>
      <w:r w:rsidR="00901FAB">
        <w:t xml:space="preserve">publicly </w:t>
      </w:r>
      <w:r>
        <w:t>available (web)</w:t>
      </w:r>
      <w:r w:rsidR="00EF26E0">
        <w:t xml:space="preserve"> </w:t>
      </w:r>
    </w:p>
    <w:p w:rsidR="006A7E23" w:rsidRDefault="006A7E23" w:rsidP="006A7E23">
      <w:pPr>
        <w:numPr>
          <w:ilvl w:val="0"/>
          <w:numId w:val="4"/>
        </w:numPr>
      </w:pPr>
      <w:r>
        <w:t>Documents</w:t>
      </w:r>
    </w:p>
    <w:p w:rsidR="006A7E23" w:rsidRDefault="00B769DE" w:rsidP="006A7E23">
      <w:pPr>
        <w:numPr>
          <w:ilvl w:val="1"/>
          <w:numId w:val="4"/>
        </w:numPr>
      </w:pPr>
      <w:r>
        <w:t xml:space="preserve">Create </w:t>
      </w:r>
      <w:r w:rsidR="006A7E23">
        <w:t>Flow chart of process</w:t>
      </w:r>
      <w:r w:rsidR="00EF26E0">
        <w:t xml:space="preserve"> </w:t>
      </w:r>
    </w:p>
    <w:p w:rsidR="00E7590F" w:rsidRDefault="00B769DE" w:rsidP="006A7E23">
      <w:pPr>
        <w:numPr>
          <w:ilvl w:val="1"/>
          <w:numId w:val="4"/>
        </w:numPr>
      </w:pPr>
      <w:r>
        <w:t xml:space="preserve">Create </w:t>
      </w:r>
      <w:r w:rsidR="00E7590F">
        <w:t>C-ATBD</w:t>
      </w:r>
      <w:r w:rsidR="00EF26E0">
        <w:t xml:space="preserve"> </w:t>
      </w:r>
    </w:p>
    <w:p w:rsidR="006A7E23" w:rsidRDefault="00B769DE" w:rsidP="006A7E23">
      <w:pPr>
        <w:numPr>
          <w:ilvl w:val="1"/>
          <w:numId w:val="4"/>
        </w:numPr>
      </w:pPr>
      <w:r>
        <w:t xml:space="preserve">Evaluate product using </w:t>
      </w:r>
      <w:r w:rsidR="00A475BE">
        <w:t>Maturity M</w:t>
      </w:r>
      <w:r w:rsidR="006A7E23">
        <w:t>atrix – level 3</w:t>
      </w:r>
      <w:r w:rsidR="00E7590F">
        <w:t xml:space="preserve"> and above</w:t>
      </w:r>
      <w:r w:rsidR="00EF26E0">
        <w:t xml:space="preserve"> </w:t>
      </w:r>
    </w:p>
    <w:p w:rsidR="006A7E23" w:rsidRDefault="006A7E23" w:rsidP="006A7E23">
      <w:pPr>
        <w:numPr>
          <w:ilvl w:val="1"/>
          <w:numId w:val="4"/>
        </w:numPr>
      </w:pPr>
      <w:r>
        <w:t>Archive document package</w:t>
      </w:r>
      <w:r w:rsidR="00EF26E0">
        <w:t xml:space="preserve"> </w:t>
      </w:r>
    </w:p>
    <w:p w:rsidR="006A7E23" w:rsidRPr="00B769DE" w:rsidRDefault="00B769DE" w:rsidP="006A7E23">
      <w:pPr>
        <w:numPr>
          <w:ilvl w:val="1"/>
          <w:numId w:val="4"/>
        </w:numPr>
      </w:pPr>
      <w:r w:rsidRPr="00B769DE">
        <w:t xml:space="preserve">Create </w:t>
      </w:r>
      <w:r w:rsidR="00943D34">
        <w:t>discovery</w:t>
      </w:r>
      <w:r w:rsidR="006A7E23" w:rsidRPr="00B769DE">
        <w:t xml:space="preserve"> metadata for product</w:t>
      </w:r>
      <w:r w:rsidR="00EF26E0" w:rsidRPr="00B769DE">
        <w:t xml:space="preserve"> </w:t>
      </w:r>
    </w:p>
    <w:p w:rsidR="006A7E23" w:rsidRDefault="00901FAB" w:rsidP="006A7E23">
      <w:pPr>
        <w:numPr>
          <w:ilvl w:val="1"/>
          <w:numId w:val="4"/>
        </w:numPr>
      </w:pPr>
      <w:r>
        <w:t>Make documents</w:t>
      </w:r>
      <w:r w:rsidR="006A7E23">
        <w:t xml:space="preserve"> </w:t>
      </w:r>
      <w:r>
        <w:t xml:space="preserve">publicly </w:t>
      </w:r>
      <w:r w:rsidR="006A7E23">
        <w:t>available (web)</w:t>
      </w:r>
      <w:r w:rsidR="00EF26E0">
        <w:t xml:space="preserve"> </w:t>
      </w:r>
    </w:p>
    <w:p w:rsidR="006A7E23" w:rsidRDefault="006A7E23" w:rsidP="006A7E23">
      <w:pPr>
        <w:numPr>
          <w:ilvl w:val="0"/>
          <w:numId w:val="4"/>
        </w:numPr>
      </w:pPr>
      <w:r>
        <w:t>Data</w:t>
      </w:r>
    </w:p>
    <w:p w:rsidR="00E7590F" w:rsidRDefault="00B769DE" w:rsidP="006A7E23">
      <w:pPr>
        <w:numPr>
          <w:ilvl w:val="1"/>
          <w:numId w:val="4"/>
        </w:numPr>
      </w:pPr>
      <w:r>
        <w:t>Ensure d</w:t>
      </w:r>
      <w:r w:rsidR="00E7590F">
        <w:t xml:space="preserve">ata </w:t>
      </w:r>
      <w:r>
        <w:t xml:space="preserve">is </w:t>
      </w:r>
      <w:r w:rsidR="00E7590F">
        <w:t>in NetCDF format</w:t>
      </w:r>
      <w:r w:rsidR="00EF26E0">
        <w:t xml:space="preserve"> </w:t>
      </w:r>
    </w:p>
    <w:p w:rsidR="00943D34" w:rsidRDefault="00943D34" w:rsidP="006A7E23">
      <w:pPr>
        <w:numPr>
          <w:ilvl w:val="1"/>
          <w:numId w:val="4"/>
        </w:numPr>
      </w:pPr>
      <w:r>
        <w:t xml:space="preserve">Ensure data meets metadata conventions (see </w:t>
      </w:r>
      <w:r w:rsidRPr="00943D34">
        <w:rPr>
          <w:i/>
        </w:rPr>
        <w:t>NetCDF Metadata Guidelines</w:t>
      </w:r>
      <w:r>
        <w:t>)</w:t>
      </w:r>
    </w:p>
    <w:p w:rsidR="006A7E23" w:rsidRDefault="00B769DE" w:rsidP="006A7E23">
      <w:pPr>
        <w:numPr>
          <w:ilvl w:val="1"/>
          <w:numId w:val="4"/>
        </w:numPr>
      </w:pPr>
      <w:r>
        <w:t>Create Submission A</w:t>
      </w:r>
      <w:r w:rsidR="006A7E23">
        <w:t xml:space="preserve">greement </w:t>
      </w:r>
      <w:r>
        <w:t>for stewardship of all CDR pieces</w:t>
      </w:r>
      <w:r w:rsidR="00EF26E0">
        <w:t xml:space="preserve"> </w:t>
      </w:r>
    </w:p>
    <w:p w:rsidR="006A7E23" w:rsidRDefault="006A7E23" w:rsidP="006A7E23">
      <w:pPr>
        <w:numPr>
          <w:ilvl w:val="1"/>
          <w:numId w:val="4"/>
        </w:numPr>
      </w:pPr>
      <w:r>
        <w:t>Archive available Input/Ancillary data</w:t>
      </w:r>
      <w:r w:rsidR="00EF26E0">
        <w:t xml:space="preserve"> </w:t>
      </w:r>
    </w:p>
    <w:p w:rsidR="006A7E23" w:rsidRDefault="00901FAB" w:rsidP="006A7E23">
      <w:pPr>
        <w:numPr>
          <w:ilvl w:val="1"/>
          <w:numId w:val="4"/>
        </w:numPr>
      </w:pPr>
      <w:r>
        <w:t>Archive CDR dataset</w:t>
      </w:r>
      <w:r w:rsidR="00EF26E0">
        <w:t xml:space="preserve"> </w:t>
      </w:r>
    </w:p>
    <w:p w:rsidR="006A7E23" w:rsidRDefault="00B769DE" w:rsidP="006A7E23">
      <w:pPr>
        <w:numPr>
          <w:ilvl w:val="1"/>
          <w:numId w:val="4"/>
        </w:numPr>
      </w:pPr>
      <w:r>
        <w:t>Make</w:t>
      </w:r>
      <w:r w:rsidR="00A475BE">
        <w:t xml:space="preserve"> CDR dataset</w:t>
      </w:r>
      <w:r w:rsidR="00901FAB">
        <w:t xml:space="preserve"> publicly available (THREDDS</w:t>
      </w:r>
      <w:r w:rsidR="00943D34">
        <w:t xml:space="preserve"> and/or ftp</w:t>
      </w:r>
      <w:r w:rsidR="006A7E23">
        <w:t>)</w:t>
      </w:r>
      <w:r w:rsidR="00EF26E0">
        <w:t xml:space="preserve"> </w:t>
      </w:r>
    </w:p>
    <w:p w:rsidR="00F744B2" w:rsidRDefault="00F744B2" w:rsidP="00F744B2"/>
    <w:p w:rsidR="00E60816" w:rsidRDefault="00D333CB" w:rsidP="00E60816">
      <w:pPr>
        <w:pStyle w:val="Heading1"/>
      </w:pPr>
      <w:r>
        <w:t xml:space="preserve">3. </w:t>
      </w:r>
      <w:r w:rsidR="00E60816">
        <w:t>Assessment</w:t>
      </w:r>
    </w:p>
    <w:p w:rsidR="00E60816" w:rsidRDefault="00E60816" w:rsidP="00E60816">
      <w:r>
        <w:t>This assessment follows the structure of the IOC requirements.</w:t>
      </w:r>
    </w:p>
    <w:p w:rsidR="00836BBE" w:rsidRDefault="00836BBE" w:rsidP="00E60816"/>
    <w:p w:rsidR="00C563B2" w:rsidRDefault="00D333CB" w:rsidP="00E60816">
      <w:pPr>
        <w:pStyle w:val="Heading2"/>
      </w:pPr>
      <w:r>
        <w:t xml:space="preserve">3.1. </w:t>
      </w:r>
      <w:r w:rsidR="00C563B2">
        <w:t>Background</w:t>
      </w:r>
    </w:p>
    <w:p w:rsidR="005144CD" w:rsidRDefault="005144CD" w:rsidP="00C563B2">
      <w:r>
        <w:t xml:space="preserve">Background information on the PI, the algorithm, the sensor, or </w:t>
      </w:r>
      <w:r w:rsidR="0032478F">
        <w:t xml:space="preserve">any other </w:t>
      </w:r>
      <w:r>
        <w:t>general info about the CDR</w:t>
      </w:r>
      <w:r w:rsidR="0032478F">
        <w:t xml:space="preserve"> and its use</w:t>
      </w:r>
      <w:r>
        <w:t>.</w:t>
      </w:r>
    </w:p>
    <w:p w:rsidR="005144CD" w:rsidRDefault="005144CD" w:rsidP="00C563B2"/>
    <w:p w:rsidR="00E60816" w:rsidRDefault="00D333CB" w:rsidP="00E60816">
      <w:pPr>
        <w:pStyle w:val="Heading2"/>
      </w:pPr>
      <w:r>
        <w:t xml:space="preserve">3.2. </w:t>
      </w:r>
      <w:r w:rsidR="00E60816">
        <w:t>Code</w:t>
      </w:r>
    </w:p>
    <w:p w:rsidR="00E60816" w:rsidRPr="00E60816" w:rsidRDefault="00E60816" w:rsidP="00E60816">
      <w:pPr>
        <w:rPr>
          <w:u w:val="single"/>
        </w:rPr>
      </w:pPr>
      <w:r w:rsidRPr="00E60816">
        <w:rPr>
          <w:u w:val="single"/>
        </w:rPr>
        <w:t>Strengths</w:t>
      </w:r>
    </w:p>
    <w:p w:rsidR="00DA4D7C" w:rsidRDefault="005144CD" w:rsidP="00E60816">
      <w:r>
        <w:t>Any specific strengths – items that have been accomplished that directly relate to the IOC code requirements listed above</w:t>
      </w:r>
      <w:r w:rsidR="001F4BB5">
        <w:t xml:space="preserve">. </w:t>
      </w:r>
    </w:p>
    <w:p w:rsidR="00E60816" w:rsidRDefault="00E60816" w:rsidP="00E60816">
      <w:pPr>
        <w:rPr>
          <w:u w:val="single"/>
        </w:rPr>
      </w:pPr>
    </w:p>
    <w:p w:rsidR="00E60816" w:rsidRPr="00E60816" w:rsidRDefault="00E60816" w:rsidP="00E60816">
      <w:pPr>
        <w:rPr>
          <w:u w:val="single"/>
        </w:rPr>
      </w:pPr>
      <w:r w:rsidRPr="00E60816">
        <w:rPr>
          <w:u w:val="single"/>
        </w:rPr>
        <w:t>Weaknesses</w:t>
      </w:r>
    </w:p>
    <w:p w:rsidR="00E42315" w:rsidRDefault="005144CD" w:rsidP="00E60816">
      <w:r>
        <w:t xml:space="preserve">Any specific weaknesses – items that </w:t>
      </w:r>
      <w:r w:rsidR="00B20733">
        <w:t>are potential</w:t>
      </w:r>
      <w:r>
        <w:t xml:space="preserve"> roadblocks to achieving IOC code requirements listed above</w:t>
      </w:r>
      <w:r w:rsidR="00A73147">
        <w:t xml:space="preserve">. </w:t>
      </w:r>
    </w:p>
    <w:p w:rsidR="005144CD" w:rsidRDefault="005144CD" w:rsidP="00E60816"/>
    <w:p w:rsidR="005144CD" w:rsidRDefault="005144CD" w:rsidP="00E60816">
      <w:r>
        <w:t>Overall assessment on the feasibility of the code package reaching IOC by the end of the FY.</w:t>
      </w:r>
    </w:p>
    <w:p w:rsidR="00CC2B17" w:rsidRDefault="00CC2B17" w:rsidP="00E60816"/>
    <w:p w:rsidR="00413D78" w:rsidRDefault="00E4040C" w:rsidP="00413D78">
      <w:pPr>
        <w:pStyle w:val="Heading2"/>
      </w:pPr>
      <w:r>
        <w:t xml:space="preserve">3.3. </w:t>
      </w:r>
      <w:r w:rsidR="00E60816">
        <w:t>Documents</w:t>
      </w:r>
    </w:p>
    <w:p w:rsidR="00010020" w:rsidRPr="00E60816" w:rsidRDefault="00010020" w:rsidP="00010020">
      <w:pPr>
        <w:rPr>
          <w:u w:val="single"/>
        </w:rPr>
      </w:pPr>
      <w:r w:rsidRPr="00E60816">
        <w:rPr>
          <w:u w:val="single"/>
        </w:rPr>
        <w:t>Strengths</w:t>
      </w:r>
    </w:p>
    <w:p w:rsidR="00010020" w:rsidRDefault="00010020" w:rsidP="00010020">
      <w:r>
        <w:t xml:space="preserve">Any specific </w:t>
      </w:r>
      <w:proofErr w:type="gramStart"/>
      <w:r>
        <w:t>strengths</w:t>
      </w:r>
      <w:proofErr w:type="gramEnd"/>
      <w:r>
        <w:t xml:space="preserve"> – items that have been accomplished that directly relate to the IOC document requirements listed above. </w:t>
      </w:r>
    </w:p>
    <w:p w:rsidR="00010020" w:rsidRDefault="00010020" w:rsidP="00010020">
      <w:pPr>
        <w:rPr>
          <w:u w:val="single"/>
        </w:rPr>
      </w:pPr>
    </w:p>
    <w:p w:rsidR="00010020" w:rsidRPr="00E60816" w:rsidRDefault="00010020" w:rsidP="00010020">
      <w:pPr>
        <w:rPr>
          <w:u w:val="single"/>
        </w:rPr>
      </w:pPr>
      <w:r w:rsidRPr="00E60816">
        <w:rPr>
          <w:u w:val="single"/>
        </w:rPr>
        <w:t>Weaknesses</w:t>
      </w:r>
    </w:p>
    <w:p w:rsidR="00010020" w:rsidRDefault="00010020" w:rsidP="00010020">
      <w:r>
        <w:t xml:space="preserve">Any specific weaknesses – items that </w:t>
      </w:r>
      <w:r w:rsidR="00B20733">
        <w:t xml:space="preserve">are potential </w:t>
      </w:r>
      <w:r>
        <w:t xml:space="preserve">roadblocks to achieving IOC document requirements listed above. </w:t>
      </w:r>
    </w:p>
    <w:p w:rsidR="00010020" w:rsidRDefault="00010020" w:rsidP="00010020"/>
    <w:p w:rsidR="00010020" w:rsidRDefault="00010020" w:rsidP="00010020">
      <w:proofErr w:type="gramStart"/>
      <w:r>
        <w:t>Overall assessment on the feasibility of the document package reaching IOC by the end of the FY.</w:t>
      </w:r>
      <w:proofErr w:type="gramEnd"/>
    </w:p>
    <w:p w:rsidR="00010020" w:rsidRDefault="00010020" w:rsidP="00010020"/>
    <w:p w:rsidR="00010020" w:rsidRDefault="00010020" w:rsidP="00010020">
      <w:pPr>
        <w:pStyle w:val="Heading2"/>
      </w:pPr>
      <w:r>
        <w:t xml:space="preserve">3.4. Data </w:t>
      </w:r>
    </w:p>
    <w:p w:rsidR="00010020" w:rsidRPr="00E60816" w:rsidRDefault="00010020" w:rsidP="00010020">
      <w:pPr>
        <w:rPr>
          <w:u w:val="single"/>
        </w:rPr>
      </w:pPr>
      <w:r w:rsidRPr="00E60816">
        <w:rPr>
          <w:u w:val="single"/>
        </w:rPr>
        <w:t>Strengths</w:t>
      </w:r>
    </w:p>
    <w:p w:rsidR="00010020" w:rsidRDefault="00010020" w:rsidP="00010020">
      <w:r>
        <w:t xml:space="preserve">Any specific strengths – items that have been accomplished that directly relate to the IOC data requirements listed above. </w:t>
      </w:r>
    </w:p>
    <w:p w:rsidR="00010020" w:rsidRDefault="00010020" w:rsidP="00010020">
      <w:pPr>
        <w:rPr>
          <w:u w:val="single"/>
        </w:rPr>
      </w:pPr>
    </w:p>
    <w:p w:rsidR="00010020" w:rsidRPr="00E60816" w:rsidRDefault="00010020" w:rsidP="00010020">
      <w:pPr>
        <w:rPr>
          <w:u w:val="single"/>
        </w:rPr>
      </w:pPr>
      <w:r w:rsidRPr="00E60816">
        <w:rPr>
          <w:u w:val="single"/>
        </w:rPr>
        <w:t>Weaknesses</w:t>
      </w:r>
    </w:p>
    <w:p w:rsidR="00010020" w:rsidRDefault="00010020" w:rsidP="00010020">
      <w:r>
        <w:lastRenderedPageBreak/>
        <w:t xml:space="preserve">Any specific weaknesses – items that </w:t>
      </w:r>
      <w:r w:rsidR="00B20733">
        <w:t xml:space="preserve">are potential </w:t>
      </w:r>
      <w:r>
        <w:t xml:space="preserve">roadblocks to achieving IOC data requirements listed above. </w:t>
      </w:r>
    </w:p>
    <w:p w:rsidR="00010020" w:rsidRDefault="00010020" w:rsidP="00010020"/>
    <w:p w:rsidR="00010020" w:rsidRDefault="00010020" w:rsidP="00010020">
      <w:r>
        <w:t>State complete dataset size and file configuration for archive planning purposes.</w:t>
      </w:r>
    </w:p>
    <w:p w:rsidR="00010020" w:rsidRDefault="00010020" w:rsidP="00010020"/>
    <w:p w:rsidR="00010020" w:rsidRDefault="00010020" w:rsidP="00010020">
      <w:proofErr w:type="gramStart"/>
      <w:r>
        <w:t>Overall assessment on the feasibility of the data reaching IOC by the end of the FY.</w:t>
      </w:r>
      <w:proofErr w:type="gramEnd"/>
    </w:p>
    <w:p w:rsidR="00010020" w:rsidRDefault="00010020" w:rsidP="00010020"/>
    <w:p w:rsidR="00010020" w:rsidRDefault="00010020" w:rsidP="00010020"/>
    <w:p w:rsidR="00010020" w:rsidRDefault="00010020" w:rsidP="00010020">
      <w:pPr>
        <w:pStyle w:val="Heading2"/>
      </w:pPr>
      <w:r>
        <w:t xml:space="preserve">3.5. Maturity Matrix </w:t>
      </w:r>
    </w:p>
    <w:p w:rsidR="002F4A9D" w:rsidRDefault="00010020" w:rsidP="002F4A9D">
      <w:r>
        <w:t>Evaluate the current product</w:t>
      </w:r>
      <w:r w:rsidR="006F7E87">
        <w:t xml:space="preserve"> maturity </w:t>
      </w:r>
      <w:r>
        <w:t>against the Maturity Matrix</w:t>
      </w:r>
      <w:r w:rsidR="006F7E87">
        <w:t>:</w:t>
      </w:r>
    </w:p>
    <w:p w:rsidR="00413D78" w:rsidRDefault="00413D78" w:rsidP="002F4A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748"/>
        <w:gridCol w:w="6549"/>
      </w:tblGrid>
      <w:tr w:rsidR="00867000" w:rsidRPr="00C34223" w:rsidTr="00B20733">
        <w:tc>
          <w:tcPr>
            <w:tcW w:w="0" w:type="auto"/>
          </w:tcPr>
          <w:p w:rsidR="00E84D58" w:rsidRPr="00B20733" w:rsidRDefault="00E84D58" w:rsidP="002F4A9D">
            <w:pPr>
              <w:rPr>
                <w:b/>
                <w:sz w:val="20"/>
              </w:rPr>
            </w:pPr>
            <w:r w:rsidRPr="00B20733">
              <w:rPr>
                <w:b/>
                <w:sz w:val="20"/>
              </w:rPr>
              <w:t>Category</w:t>
            </w:r>
          </w:p>
        </w:tc>
        <w:tc>
          <w:tcPr>
            <w:tcW w:w="0" w:type="auto"/>
          </w:tcPr>
          <w:p w:rsidR="00E84D58" w:rsidRPr="00B20733" w:rsidRDefault="00E84D58" w:rsidP="002F4A9D">
            <w:pPr>
              <w:rPr>
                <w:b/>
                <w:sz w:val="20"/>
              </w:rPr>
            </w:pPr>
            <w:r w:rsidRPr="00B20733">
              <w:rPr>
                <w:b/>
                <w:sz w:val="20"/>
              </w:rPr>
              <w:t>Rating</w:t>
            </w:r>
          </w:p>
        </w:tc>
        <w:tc>
          <w:tcPr>
            <w:tcW w:w="6549" w:type="dxa"/>
          </w:tcPr>
          <w:p w:rsidR="00E84D58" w:rsidRPr="00B20733" w:rsidRDefault="00E84D58" w:rsidP="002F4A9D">
            <w:pPr>
              <w:rPr>
                <w:b/>
                <w:sz w:val="20"/>
              </w:rPr>
            </w:pPr>
            <w:r w:rsidRPr="00B20733">
              <w:rPr>
                <w:b/>
                <w:sz w:val="20"/>
              </w:rPr>
              <w:t>Justification</w:t>
            </w:r>
          </w:p>
        </w:tc>
      </w:tr>
      <w:tr w:rsidR="00867000" w:rsidRPr="00C34223" w:rsidTr="00B20733">
        <w:tc>
          <w:tcPr>
            <w:tcW w:w="0" w:type="auto"/>
          </w:tcPr>
          <w:p w:rsidR="00E84D58" w:rsidRPr="00B20733" w:rsidRDefault="00CC2B17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Software Readiness</w:t>
            </w:r>
          </w:p>
        </w:tc>
        <w:tc>
          <w:tcPr>
            <w:tcW w:w="0" w:type="auto"/>
          </w:tcPr>
          <w:p w:rsidR="00E84D58" w:rsidRPr="00B20733" w:rsidRDefault="00010020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B20733" w:rsidRDefault="00E84D58" w:rsidP="002F4A9D">
            <w:pPr>
              <w:rPr>
                <w:sz w:val="20"/>
              </w:rPr>
            </w:pPr>
          </w:p>
        </w:tc>
      </w:tr>
      <w:tr w:rsidR="00867000" w:rsidRPr="00C34223" w:rsidTr="00B20733">
        <w:tc>
          <w:tcPr>
            <w:tcW w:w="0" w:type="auto"/>
          </w:tcPr>
          <w:p w:rsidR="00E84D58" w:rsidRPr="00B20733" w:rsidRDefault="00E84D58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Metadata</w:t>
            </w:r>
          </w:p>
        </w:tc>
        <w:tc>
          <w:tcPr>
            <w:tcW w:w="0" w:type="auto"/>
          </w:tcPr>
          <w:p w:rsidR="00E84D58" w:rsidRPr="00B20733" w:rsidRDefault="00010020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B20733" w:rsidRDefault="00E84D58" w:rsidP="002F4A9D">
            <w:pPr>
              <w:rPr>
                <w:sz w:val="20"/>
              </w:rPr>
            </w:pPr>
          </w:p>
        </w:tc>
      </w:tr>
      <w:tr w:rsidR="00867000" w:rsidRPr="00C34223" w:rsidTr="00B20733">
        <w:tc>
          <w:tcPr>
            <w:tcW w:w="0" w:type="auto"/>
          </w:tcPr>
          <w:p w:rsidR="00E84D58" w:rsidRPr="00B20733" w:rsidRDefault="00E84D58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Documentation</w:t>
            </w:r>
          </w:p>
        </w:tc>
        <w:tc>
          <w:tcPr>
            <w:tcW w:w="0" w:type="auto"/>
          </w:tcPr>
          <w:p w:rsidR="00E84D58" w:rsidRPr="00B20733" w:rsidRDefault="00010020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B20733" w:rsidRDefault="00E84D58" w:rsidP="002F4A9D">
            <w:pPr>
              <w:rPr>
                <w:sz w:val="20"/>
              </w:rPr>
            </w:pPr>
          </w:p>
        </w:tc>
      </w:tr>
      <w:tr w:rsidR="00867000" w:rsidRPr="00C34223" w:rsidTr="00B20733">
        <w:tc>
          <w:tcPr>
            <w:tcW w:w="0" w:type="auto"/>
          </w:tcPr>
          <w:p w:rsidR="00E84D58" w:rsidRPr="00B20733" w:rsidRDefault="00CC2B17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 xml:space="preserve">Product </w:t>
            </w:r>
            <w:r w:rsidR="00E84D58" w:rsidRPr="00B20733">
              <w:rPr>
                <w:sz w:val="20"/>
              </w:rPr>
              <w:t>Validation</w:t>
            </w:r>
          </w:p>
        </w:tc>
        <w:tc>
          <w:tcPr>
            <w:tcW w:w="0" w:type="auto"/>
          </w:tcPr>
          <w:p w:rsidR="00E84D58" w:rsidRPr="00B20733" w:rsidRDefault="00010020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B20733" w:rsidRDefault="00E84D58" w:rsidP="00867000">
            <w:pPr>
              <w:rPr>
                <w:sz w:val="20"/>
              </w:rPr>
            </w:pPr>
          </w:p>
        </w:tc>
      </w:tr>
      <w:tr w:rsidR="00867000" w:rsidRPr="00C34223" w:rsidTr="00B20733">
        <w:tc>
          <w:tcPr>
            <w:tcW w:w="0" w:type="auto"/>
          </w:tcPr>
          <w:p w:rsidR="00E84D58" w:rsidRPr="00B20733" w:rsidRDefault="00E84D58" w:rsidP="00CC2B17">
            <w:pPr>
              <w:rPr>
                <w:sz w:val="20"/>
              </w:rPr>
            </w:pPr>
            <w:r w:rsidRPr="00B20733">
              <w:rPr>
                <w:sz w:val="20"/>
              </w:rPr>
              <w:t xml:space="preserve">Public </w:t>
            </w:r>
            <w:r w:rsidR="00CC2B17" w:rsidRPr="00B20733">
              <w:rPr>
                <w:sz w:val="20"/>
              </w:rPr>
              <w:t>Access</w:t>
            </w:r>
          </w:p>
        </w:tc>
        <w:tc>
          <w:tcPr>
            <w:tcW w:w="0" w:type="auto"/>
          </w:tcPr>
          <w:p w:rsidR="00E84D58" w:rsidRPr="00B20733" w:rsidRDefault="00010020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B20733" w:rsidRDefault="00E84D58" w:rsidP="002F4A9D">
            <w:pPr>
              <w:rPr>
                <w:sz w:val="20"/>
              </w:rPr>
            </w:pPr>
          </w:p>
        </w:tc>
      </w:tr>
      <w:tr w:rsidR="00867000" w:rsidRPr="00C34223" w:rsidTr="00B20733">
        <w:tc>
          <w:tcPr>
            <w:tcW w:w="0" w:type="auto"/>
          </w:tcPr>
          <w:p w:rsidR="00E84D58" w:rsidRPr="00B20733" w:rsidRDefault="00CC2B17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Utility</w:t>
            </w:r>
          </w:p>
        </w:tc>
        <w:tc>
          <w:tcPr>
            <w:tcW w:w="0" w:type="auto"/>
          </w:tcPr>
          <w:p w:rsidR="00E84D58" w:rsidRPr="00B20733" w:rsidRDefault="00010020" w:rsidP="002F4A9D">
            <w:pPr>
              <w:rPr>
                <w:sz w:val="20"/>
              </w:rPr>
            </w:pPr>
            <w:r w:rsidRPr="00B20733">
              <w:rPr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B20733" w:rsidRDefault="00E84D58" w:rsidP="00C25018">
            <w:pPr>
              <w:rPr>
                <w:sz w:val="20"/>
              </w:rPr>
            </w:pPr>
          </w:p>
        </w:tc>
      </w:tr>
      <w:tr w:rsidR="00867000" w:rsidRPr="00C34223" w:rsidTr="00B20733">
        <w:tc>
          <w:tcPr>
            <w:tcW w:w="0" w:type="auto"/>
          </w:tcPr>
          <w:p w:rsidR="00E84D58" w:rsidRPr="00010020" w:rsidRDefault="00B20733" w:rsidP="002F4A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Overall </w:t>
            </w:r>
            <w:r w:rsidR="00E84D58" w:rsidRPr="00010020">
              <w:rPr>
                <w:b/>
                <w:sz w:val="20"/>
              </w:rPr>
              <w:t>Maturity</w:t>
            </w:r>
          </w:p>
        </w:tc>
        <w:tc>
          <w:tcPr>
            <w:tcW w:w="0" w:type="auto"/>
          </w:tcPr>
          <w:p w:rsidR="00E84D58" w:rsidRPr="00010020" w:rsidRDefault="00010020" w:rsidP="002F4A9D">
            <w:pPr>
              <w:rPr>
                <w:b/>
                <w:color w:val="FF0000"/>
                <w:sz w:val="20"/>
              </w:rPr>
            </w:pPr>
            <w:r w:rsidRPr="00010020">
              <w:rPr>
                <w:b/>
                <w:color w:val="FF0000"/>
                <w:sz w:val="20"/>
              </w:rPr>
              <w:t>x</w:t>
            </w:r>
          </w:p>
        </w:tc>
        <w:tc>
          <w:tcPr>
            <w:tcW w:w="6549" w:type="dxa"/>
          </w:tcPr>
          <w:p w:rsidR="00E84D58" w:rsidRPr="00010020" w:rsidRDefault="00836BBE" w:rsidP="00010020">
            <w:pPr>
              <w:rPr>
                <w:sz w:val="20"/>
              </w:rPr>
            </w:pPr>
            <w:r>
              <w:rPr>
                <w:sz w:val="20"/>
              </w:rPr>
              <w:t xml:space="preserve">Lowest rating of the six categories              </w:t>
            </w:r>
          </w:p>
        </w:tc>
      </w:tr>
    </w:tbl>
    <w:p w:rsidR="00E84D58" w:rsidRDefault="00E84D58" w:rsidP="002F4A9D"/>
    <w:p w:rsidR="00787125" w:rsidRDefault="00E4040C" w:rsidP="0095414C">
      <w:pPr>
        <w:pStyle w:val="Heading1"/>
      </w:pPr>
      <w:r>
        <w:t xml:space="preserve">4. </w:t>
      </w:r>
      <w:r w:rsidR="0095414C">
        <w:t>Conclusion</w:t>
      </w:r>
      <w:r w:rsidR="00375F36">
        <w:t xml:space="preserve"> and Recommendation</w:t>
      </w:r>
    </w:p>
    <w:p w:rsidR="00375F36" w:rsidRDefault="00375F36" w:rsidP="00787125">
      <w:pPr>
        <w:pStyle w:val="ListParagraph"/>
        <w:ind w:left="0"/>
      </w:pPr>
    </w:p>
    <w:p w:rsidR="00375F36" w:rsidRDefault="00010020" w:rsidP="00787125">
      <w:pPr>
        <w:pStyle w:val="ListParagraph"/>
        <w:ind w:left="0"/>
      </w:pPr>
      <w:r>
        <w:t>In summary, given that there are specific weakness and strengths:</w:t>
      </w:r>
    </w:p>
    <w:p w:rsidR="00787125" w:rsidRDefault="00010020" w:rsidP="00787125">
      <w:pPr>
        <w:pStyle w:val="ListParagraph"/>
        <w:numPr>
          <w:ilvl w:val="0"/>
          <w:numId w:val="3"/>
        </w:numPr>
      </w:pPr>
      <w:r>
        <w:t>key points for justifying your recommendation</w:t>
      </w:r>
    </w:p>
    <w:p w:rsidR="00010020" w:rsidRDefault="00595EBD" w:rsidP="00787125">
      <w:pPr>
        <w:pStyle w:val="ListParagraph"/>
        <w:numPr>
          <w:ilvl w:val="0"/>
          <w:numId w:val="3"/>
        </w:numPr>
      </w:pPr>
      <w:r>
        <w:t>PIs willingness to comply</w:t>
      </w:r>
    </w:p>
    <w:p w:rsidR="00595EBD" w:rsidRDefault="00595EBD" w:rsidP="00787125">
      <w:pPr>
        <w:pStyle w:val="ListParagraph"/>
        <w:numPr>
          <w:ilvl w:val="0"/>
          <w:numId w:val="3"/>
        </w:numPr>
      </w:pPr>
      <w:r>
        <w:t>etc.</w:t>
      </w:r>
    </w:p>
    <w:p w:rsidR="00921B66" w:rsidRDefault="00921B66" w:rsidP="00787125">
      <w:pPr>
        <w:pStyle w:val="ListParagraph"/>
        <w:ind w:left="0"/>
      </w:pPr>
    </w:p>
    <w:p w:rsidR="00AF2B12" w:rsidRDefault="00010020" w:rsidP="00787125">
      <w:pPr>
        <w:pStyle w:val="ListParagraph"/>
        <w:ind w:left="0"/>
      </w:pPr>
      <w:r w:rsidRPr="00836BBE">
        <w:t xml:space="preserve">It is the recommendation of </w:t>
      </w:r>
      <w:r w:rsidR="005C6776" w:rsidRPr="00836BBE">
        <w:t xml:space="preserve">the </w:t>
      </w:r>
      <w:r w:rsidR="008C659D">
        <w:t>SME</w:t>
      </w:r>
      <w:r w:rsidR="005C6776" w:rsidRPr="00836BBE">
        <w:t xml:space="preserve"> </w:t>
      </w:r>
      <w:r w:rsidRPr="00836BBE">
        <w:t>that</w:t>
      </w:r>
      <w:r>
        <w:t xml:space="preserve"> this CDR </w:t>
      </w:r>
      <w:r w:rsidR="008C659D">
        <w:t>(</w:t>
      </w:r>
      <w:r w:rsidRPr="008C659D">
        <w:rPr>
          <w:i/>
        </w:rPr>
        <w:t>could/could not</w:t>
      </w:r>
      <w:r w:rsidR="008C659D">
        <w:t>)</w:t>
      </w:r>
      <w:r>
        <w:t xml:space="preserve"> be transitioned to IOC</w:t>
      </w:r>
      <w:r w:rsidR="00836BBE">
        <w:t xml:space="preserve"> within </w:t>
      </w:r>
      <w:r w:rsidR="00F8503D">
        <w:t>FYXX</w:t>
      </w:r>
      <w:r w:rsidR="00595EBD">
        <w:t>…</w:t>
      </w:r>
      <w:r w:rsidR="00AF2B12" w:rsidRPr="00AF2B12">
        <w:t xml:space="preserve"> </w:t>
      </w:r>
    </w:p>
    <w:p w:rsidR="00AF2B12" w:rsidRDefault="00AF2B12" w:rsidP="00787125">
      <w:pPr>
        <w:pStyle w:val="ListParagraph"/>
        <w:ind w:left="0"/>
      </w:pPr>
    </w:p>
    <w:p w:rsidR="00A10462" w:rsidRDefault="00AF2B12" w:rsidP="00787125">
      <w:pPr>
        <w:pStyle w:val="ListParagraph"/>
        <w:ind w:left="0"/>
      </w:pPr>
      <w:r w:rsidRPr="00AF2B12">
        <w:t xml:space="preserve">If not </w:t>
      </w:r>
      <w:r>
        <w:t xml:space="preserve">recommending </w:t>
      </w:r>
      <w:r w:rsidRPr="00AF2B12">
        <w:t>tran</w:t>
      </w:r>
      <w:r>
        <w:t>sition to IOC, provide</w:t>
      </w:r>
      <w:r w:rsidRPr="00AF2B12">
        <w:t xml:space="preserve"> some suggestions/options for remedy</w:t>
      </w:r>
      <w:r>
        <w:t>.</w:t>
      </w:r>
    </w:p>
    <w:p w:rsidR="00625CB6" w:rsidRDefault="00625CB6" w:rsidP="00787125">
      <w:pPr>
        <w:pStyle w:val="ListParagraph"/>
        <w:ind w:left="0"/>
      </w:pPr>
    </w:p>
    <w:sectPr w:rsidR="00625CB6" w:rsidSect="00AE59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32" w:rsidRDefault="002E4A32" w:rsidP="002E4A32">
      <w:pPr>
        <w:spacing w:line="240" w:lineRule="auto"/>
      </w:pPr>
      <w:r>
        <w:separator/>
      </w:r>
    </w:p>
  </w:endnote>
  <w:endnote w:type="continuationSeparator" w:id="0">
    <w:p w:rsidR="002E4A32" w:rsidRDefault="002E4A32" w:rsidP="002E4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32" w:rsidRDefault="002E4A32" w:rsidP="002E4A32">
      <w:pPr>
        <w:spacing w:line="240" w:lineRule="auto"/>
      </w:pPr>
      <w:r>
        <w:separator/>
      </w:r>
    </w:p>
  </w:footnote>
  <w:footnote w:type="continuationSeparator" w:id="0">
    <w:p w:rsidR="002E4A32" w:rsidRDefault="002E4A32" w:rsidP="002E4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32" w:rsidRPr="00B35C7D" w:rsidRDefault="002E4A32" w:rsidP="002E4A32">
    <w:pPr>
      <w:pStyle w:val="CDRPageHeaderRevisionNumber"/>
    </w:pPr>
    <w:r w:rsidRPr="00B35C7D">
      <w:t xml:space="preserve">CDR </w:t>
    </w:r>
    <w:r>
      <w:t xml:space="preserve">Assessment </w:t>
    </w:r>
    <w:r w:rsidR="00C36C07">
      <w:t xml:space="preserve">Report </w:t>
    </w:r>
    <w:r>
      <w:t>Template</w:t>
    </w:r>
    <w:r>
      <w:tab/>
    </w:r>
    <w:r>
      <w:tab/>
      <w:t xml:space="preserve">CDRP-TMP-0252   </w:t>
    </w:r>
    <w:r w:rsidRPr="002E4A32">
      <w:t xml:space="preserve"> </w:t>
    </w:r>
    <w:r>
      <w:t>Rev. 1</w:t>
    </w:r>
    <w:r w:rsidRPr="00EA62B9">
      <w:t xml:space="preserve">   </w:t>
    </w:r>
    <w:r>
      <w:t>11/05</w:t>
    </w:r>
    <w:r w:rsidRPr="00EA62B9">
      <w:t>/</w:t>
    </w:r>
    <w:r>
      <w:t>2012</w:t>
    </w:r>
  </w:p>
  <w:p w:rsidR="002E4A32" w:rsidRDefault="002E4A32" w:rsidP="002E4A32">
    <w:pPr>
      <w:pStyle w:val="CDRPageHeader"/>
    </w:pPr>
  </w:p>
  <w:p w:rsidR="002E4A32" w:rsidRPr="002E4A32" w:rsidRDefault="002E4A32" w:rsidP="002E4A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AF5"/>
    <w:multiLevelType w:val="hybridMultilevel"/>
    <w:tmpl w:val="69D6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1A05"/>
    <w:multiLevelType w:val="hybridMultilevel"/>
    <w:tmpl w:val="EE1A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315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41279C3"/>
    <w:multiLevelType w:val="hybridMultilevel"/>
    <w:tmpl w:val="2214B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A6E55"/>
    <w:multiLevelType w:val="hybridMultilevel"/>
    <w:tmpl w:val="2A00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16"/>
    <w:rsid w:val="00010020"/>
    <w:rsid w:val="00010FE4"/>
    <w:rsid w:val="00016B0A"/>
    <w:rsid w:val="000250C0"/>
    <w:rsid w:val="00047A27"/>
    <w:rsid w:val="0005296E"/>
    <w:rsid w:val="00074F29"/>
    <w:rsid w:val="000C5BB2"/>
    <w:rsid w:val="000D4C1B"/>
    <w:rsid w:val="000E1679"/>
    <w:rsid w:val="00110E40"/>
    <w:rsid w:val="001309A5"/>
    <w:rsid w:val="0013397E"/>
    <w:rsid w:val="001433CD"/>
    <w:rsid w:val="001D6DF6"/>
    <w:rsid w:val="001F4BB5"/>
    <w:rsid w:val="00276BC2"/>
    <w:rsid w:val="002C2941"/>
    <w:rsid w:val="002C7625"/>
    <w:rsid w:val="002D45A9"/>
    <w:rsid w:val="002E4A32"/>
    <w:rsid w:val="002F4A9D"/>
    <w:rsid w:val="00302545"/>
    <w:rsid w:val="0032478F"/>
    <w:rsid w:val="00341814"/>
    <w:rsid w:val="0035610B"/>
    <w:rsid w:val="00375F36"/>
    <w:rsid w:val="003D4D63"/>
    <w:rsid w:val="003E6FBB"/>
    <w:rsid w:val="003F3DC8"/>
    <w:rsid w:val="00413D78"/>
    <w:rsid w:val="00492BD4"/>
    <w:rsid w:val="004D7FAC"/>
    <w:rsid w:val="005101F9"/>
    <w:rsid w:val="00513FDB"/>
    <w:rsid w:val="005144CD"/>
    <w:rsid w:val="00552A83"/>
    <w:rsid w:val="0059471D"/>
    <w:rsid w:val="00594DF8"/>
    <w:rsid w:val="00595EBD"/>
    <w:rsid w:val="005A0808"/>
    <w:rsid w:val="005B221C"/>
    <w:rsid w:val="005B652D"/>
    <w:rsid w:val="005C6776"/>
    <w:rsid w:val="005E5E47"/>
    <w:rsid w:val="006059D0"/>
    <w:rsid w:val="00612E16"/>
    <w:rsid w:val="00625CB6"/>
    <w:rsid w:val="006816BE"/>
    <w:rsid w:val="00686E5C"/>
    <w:rsid w:val="0069249E"/>
    <w:rsid w:val="00693DFF"/>
    <w:rsid w:val="006A7E23"/>
    <w:rsid w:val="006B320F"/>
    <w:rsid w:val="006D7317"/>
    <w:rsid w:val="006F7E87"/>
    <w:rsid w:val="007420E6"/>
    <w:rsid w:val="00787125"/>
    <w:rsid w:val="0079359B"/>
    <w:rsid w:val="007C3381"/>
    <w:rsid w:val="007E42AC"/>
    <w:rsid w:val="007E43E7"/>
    <w:rsid w:val="00815CBF"/>
    <w:rsid w:val="00836BBE"/>
    <w:rsid w:val="0086385F"/>
    <w:rsid w:val="00863E4A"/>
    <w:rsid w:val="00867000"/>
    <w:rsid w:val="00886B25"/>
    <w:rsid w:val="008C659D"/>
    <w:rsid w:val="008D578E"/>
    <w:rsid w:val="00901FAB"/>
    <w:rsid w:val="0092173D"/>
    <w:rsid w:val="00921B66"/>
    <w:rsid w:val="009319F8"/>
    <w:rsid w:val="00943D34"/>
    <w:rsid w:val="0095414C"/>
    <w:rsid w:val="009B3E9B"/>
    <w:rsid w:val="009E25FB"/>
    <w:rsid w:val="00A10462"/>
    <w:rsid w:val="00A475BE"/>
    <w:rsid w:val="00A57C39"/>
    <w:rsid w:val="00A73147"/>
    <w:rsid w:val="00AB0D05"/>
    <w:rsid w:val="00AE5958"/>
    <w:rsid w:val="00AF2B12"/>
    <w:rsid w:val="00AF72C4"/>
    <w:rsid w:val="00B010B1"/>
    <w:rsid w:val="00B20733"/>
    <w:rsid w:val="00B36FD3"/>
    <w:rsid w:val="00B769DE"/>
    <w:rsid w:val="00B85733"/>
    <w:rsid w:val="00B92C2C"/>
    <w:rsid w:val="00BE59F1"/>
    <w:rsid w:val="00C25018"/>
    <w:rsid w:val="00C34223"/>
    <w:rsid w:val="00C36C07"/>
    <w:rsid w:val="00C563B2"/>
    <w:rsid w:val="00C6219C"/>
    <w:rsid w:val="00C671CB"/>
    <w:rsid w:val="00C94284"/>
    <w:rsid w:val="00CC2B17"/>
    <w:rsid w:val="00CC711E"/>
    <w:rsid w:val="00D15A48"/>
    <w:rsid w:val="00D333CB"/>
    <w:rsid w:val="00D408A3"/>
    <w:rsid w:val="00D70DDF"/>
    <w:rsid w:val="00D73644"/>
    <w:rsid w:val="00DA490C"/>
    <w:rsid w:val="00DA4D7C"/>
    <w:rsid w:val="00DA5292"/>
    <w:rsid w:val="00DB6093"/>
    <w:rsid w:val="00DE7568"/>
    <w:rsid w:val="00E1740F"/>
    <w:rsid w:val="00E4040C"/>
    <w:rsid w:val="00E42315"/>
    <w:rsid w:val="00E525E4"/>
    <w:rsid w:val="00E60816"/>
    <w:rsid w:val="00E61341"/>
    <w:rsid w:val="00E7590F"/>
    <w:rsid w:val="00E80454"/>
    <w:rsid w:val="00E84D58"/>
    <w:rsid w:val="00EA75D3"/>
    <w:rsid w:val="00ED7C2F"/>
    <w:rsid w:val="00EF26E0"/>
    <w:rsid w:val="00EF59E1"/>
    <w:rsid w:val="00F55CF7"/>
    <w:rsid w:val="00F744B2"/>
    <w:rsid w:val="00F84020"/>
    <w:rsid w:val="00F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16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8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8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9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8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60816"/>
    <w:pPr>
      <w:ind w:left="720"/>
      <w:contextualSpacing/>
    </w:pPr>
  </w:style>
  <w:style w:type="table" w:styleId="TableGrid">
    <w:name w:val="Table Grid"/>
    <w:basedOn w:val="TableNormal"/>
    <w:uiPriority w:val="59"/>
    <w:rsid w:val="00E8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7E2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490C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A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A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32"/>
    <w:rPr>
      <w:sz w:val="22"/>
      <w:szCs w:val="22"/>
    </w:rPr>
  </w:style>
  <w:style w:type="paragraph" w:customStyle="1" w:styleId="CDRPageHeader">
    <w:name w:val="CDRPageHeader"/>
    <w:basedOn w:val="Header"/>
    <w:qFormat/>
    <w:rsid w:val="002E4A32"/>
    <w:pPr>
      <w:widowControl w:val="0"/>
      <w:autoSpaceDE w:val="0"/>
      <w:autoSpaceDN w:val="0"/>
      <w:adjustRightInd w:val="0"/>
      <w:jc w:val="both"/>
    </w:pPr>
    <w:rPr>
      <w:rFonts w:eastAsia="Times New Roman" w:cs="Arial"/>
      <w:sz w:val="20"/>
      <w:szCs w:val="24"/>
      <w:u w:val="single"/>
    </w:rPr>
  </w:style>
  <w:style w:type="paragraph" w:customStyle="1" w:styleId="CDRPageHeaderRevisionNumber">
    <w:name w:val="CDRPageHeaderRevisionNumber"/>
    <w:basedOn w:val="CDRPageHeader"/>
    <w:qFormat/>
    <w:rsid w:val="002E4A32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16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8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8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9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8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60816"/>
    <w:pPr>
      <w:ind w:left="720"/>
      <w:contextualSpacing/>
    </w:pPr>
  </w:style>
  <w:style w:type="table" w:styleId="TableGrid">
    <w:name w:val="Table Grid"/>
    <w:basedOn w:val="TableNormal"/>
    <w:uiPriority w:val="59"/>
    <w:rsid w:val="00E8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A7E2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A490C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4A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4A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32"/>
    <w:rPr>
      <w:sz w:val="22"/>
      <w:szCs w:val="22"/>
    </w:rPr>
  </w:style>
  <w:style w:type="paragraph" w:customStyle="1" w:styleId="CDRPageHeader">
    <w:name w:val="CDRPageHeader"/>
    <w:basedOn w:val="Header"/>
    <w:qFormat/>
    <w:rsid w:val="002E4A32"/>
    <w:pPr>
      <w:widowControl w:val="0"/>
      <w:autoSpaceDE w:val="0"/>
      <w:autoSpaceDN w:val="0"/>
      <w:adjustRightInd w:val="0"/>
      <w:jc w:val="both"/>
    </w:pPr>
    <w:rPr>
      <w:rFonts w:eastAsia="Times New Roman" w:cs="Arial"/>
      <w:sz w:val="20"/>
      <w:szCs w:val="24"/>
      <w:u w:val="single"/>
    </w:rPr>
  </w:style>
  <w:style w:type="paragraph" w:customStyle="1" w:styleId="CDRPageHeaderRevisionNumber">
    <w:name w:val="CDRPageHeaderRevisionNumber"/>
    <w:basedOn w:val="CDRPageHeader"/>
    <w:qFormat/>
    <w:rsid w:val="002E4A3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NCDC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Ken.Knapp</dc:creator>
  <cp:lastModifiedBy>Candace Hutchins</cp:lastModifiedBy>
  <cp:revision>2</cp:revision>
  <cp:lastPrinted>2012-10-17T17:49:00Z</cp:lastPrinted>
  <dcterms:created xsi:type="dcterms:W3CDTF">2012-11-06T16:32:00Z</dcterms:created>
  <dcterms:modified xsi:type="dcterms:W3CDTF">2012-11-06T16:32:00Z</dcterms:modified>
</cp:coreProperties>
</file>